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0"/>
        </w:rPr>
        <w:t>KURDISTAN TECHNICAL INSTITUTE</w:t>
      </w:r>
    </w:p>
    <w:p>
      <w:pPr>
        <w:jc w:val="center"/>
      </w:pPr>
      <w:r>
        <w:rPr>
          <w:i/>
          <w:sz w:val="26"/>
        </w:rPr>
        <w:t>Sulaimani / Kurdistan Region of Iraq</w:t>
      </w:r>
    </w:p>
    <w:p>
      <w:pPr>
        <w:jc w:val="center"/>
      </w:pPr>
      <w:r>
        <w:rPr>
          <w:b/>
          <w:sz w:val="56"/>
        </w:rPr>
        <w:t>INFORMATION TECHNOLOGY (IT) POLICY</w:t>
      </w:r>
    </w:p>
    <w:p>
      <w:pPr>
        <w:jc w:val="center"/>
      </w:pPr>
      <w:r>
        <w:rPr>
          <w:sz w:val="30"/>
        </w:rPr>
        <w:t>Version 1.0 — 2026</w:t>
      </w:r>
    </w:p>
    <w:p/>
    <w:tbl>
      <w:tblPr>
        <w:tblStyle w:val="TableGrid"/>
        <w:tblW w:type="auto" w:w="0"/>
        <w:jc w:val="center"/>
        <w:tblLook w:firstColumn="1" w:firstRow="1" w:lastColumn="0" w:lastRow="0" w:noHBand="0" w:noVBand="1" w:val="04A0"/>
      </w:tblPr>
      <w:tblGrid>
        <w:gridCol w:w="4896"/>
        <w:gridCol w:w="4896"/>
      </w:tblGrid>
      <w:tr>
        <w:tc>
          <w:tcPr>
            <w:tcW w:type="dxa" w:w="4896"/>
            <w:vAlign w:val="center"/>
          </w:tcPr>
          <w:p>
            <w:r>
              <w:rPr>
                <w:b/>
                <w:sz w:val="18"/>
              </w:rPr>
              <w:t>Document Control</w:t>
            </w:r>
          </w:p>
        </w:tc>
        <w:tc>
          <w:tcPr>
            <w:tcW w:type="dxa" w:w="4896"/>
            <w:vAlign w:val="center"/>
          </w:tcPr>
          <w:p>
            <w:r>
              <w:rPr>
                <w:b/>
                <w:sz w:val="18"/>
              </w:rPr>
              <w:t>Details</w:t>
            </w:r>
          </w:p>
        </w:tc>
      </w:tr>
      <w:tr>
        <w:tc>
          <w:tcPr>
            <w:tcW w:type="dxa" w:w="4896"/>
            <w:vAlign w:val="center"/>
          </w:tcPr>
          <w:p>
            <w:r>
              <w:rPr>
                <w:sz w:val="18"/>
              </w:rPr>
              <w:t>Document Owner</w:t>
            </w:r>
          </w:p>
        </w:tc>
        <w:tc>
          <w:tcPr>
            <w:tcW w:type="dxa" w:w="4896"/>
            <w:vAlign w:val="center"/>
          </w:tcPr>
          <w:p>
            <w:r>
              <w:rPr>
                <w:sz w:val="18"/>
              </w:rPr>
              <w:t>Information Technology Department</w:t>
            </w:r>
          </w:p>
        </w:tc>
      </w:tr>
      <w:tr>
        <w:tc>
          <w:tcPr>
            <w:tcW w:type="dxa" w:w="4896"/>
            <w:vAlign w:val="center"/>
          </w:tcPr>
          <w:p>
            <w:r>
              <w:rPr>
                <w:sz w:val="18"/>
              </w:rPr>
              <w:t>Policy Number</w:t>
            </w:r>
          </w:p>
        </w:tc>
        <w:tc>
          <w:tcPr>
            <w:tcW w:type="dxa" w:w="4896"/>
            <w:vAlign w:val="center"/>
          </w:tcPr>
          <w:p>
            <w:r>
              <w:rPr>
                <w:sz w:val="18"/>
              </w:rPr>
              <w:t>KTI-IT-PO-01</w:t>
            </w:r>
          </w:p>
        </w:tc>
      </w:tr>
      <w:tr>
        <w:tc>
          <w:tcPr>
            <w:tcW w:type="dxa" w:w="4896"/>
            <w:vAlign w:val="center"/>
          </w:tcPr>
          <w:p>
            <w:r>
              <w:rPr>
                <w:sz w:val="18"/>
              </w:rPr>
              <w:t>Version</w:t>
            </w:r>
          </w:p>
        </w:tc>
        <w:tc>
          <w:tcPr>
            <w:tcW w:type="dxa" w:w="4896"/>
            <w:vAlign w:val="center"/>
          </w:tcPr>
          <w:p>
            <w:r>
              <w:rPr>
                <w:sz w:val="18"/>
              </w:rPr>
              <w:t>1.0</w:t>
            </w:r>
          </w:p>
        </w:tc>
      </w:tr>
      <w:tr>
        <w:tc>
          <w:tcPr>
            <w:tcW w:type="dxa" w:w="4896"/>
            <w:vAlign w:val="center"/>
          </w:tcPr>
          <w:p>
            <w:r>
              <w:rPr>
                <w:sz w:val="18"/>
              </w:rPr>
              <w:t>Effective Date</w:t>
            </w:r>
          </w:p>
        </w:tc>
        <w:tc>
          <w:tcPr>
            <w:tcW w:type="dxa" w:w="4896"/>
            <w:vAlign w:val="center"/>
          </w:tcPr>
          <w:p>
            <w:r>
              <w:rPr>
                <w:sz w:val="18"/>
              </w:rPr>
              <w:t>[To be approved]</w:t>
            </w:r>
          </w:p>
        </w:tc>
      </w:tr>
      <w:tr>
        <w:tc>
          <w:tcPr>
            <w:tcW w:type="dxa" w:w="4896"/>
            <w:vAlign w:val="center"/>
          </w:tcPr>
          <w:p>
            <w:r>
              <w:rPr>
                <w:sz w:val="18"/>
              </w:rPr>
              <w:t>Review Cycle</w:t>
            </w:r>
          </w:p>
        </w:tc>
        <w:tc>
          <w:tcPr>
            <w:tcW w:type="dxa" w:w="4896"/>
            <w:vAlign w:val="center"/>
          </w:tcPr>
          <w:p>
            <w:r>
              <w:rPr>
                <w:sz w:val="18"/>
              </w:rPr>
              <w:t>At least annually</w:t>
            </w:r>
          </w:p>
        </w:tc>
      </w:tr>
      <w:tr>
        <w:tc>
          <w:tcPr>
            <w:tcW w:type="dxa" w:w="4896"/>
            <w:vAlign w:val="center"/>
          </w:tcPr>
          <w:p>
            <w:r>
              <w:rPr>
                <w:sz w:val="18"/>
              </w:rPr>
              <w:t>Approval Authority</w:t>
            </w:r>
          </w:p>
        </w:tc>
        <w:tc>
          <w:tcPr>
            <w:tcW w:type="dxa" w:w="4896"/>
            <w:vAlign w:val="center"/>
          </w:tcPr>
          <w:p>
            <w:r>
              <w:rPr>
                <w:sz w:val="18"/>
              </w:rPr>
              <w:t>[KTI Management / Authorized Committee]</w:t>
            </w:r>
          </w:p>
        </w:tc>
      </w:tr>
      <w:tr>
        <w:tc>
          <w:tcPr>
            <w:tcW w:type="dxa" w:w="4896"/>
            <w:vAlign w:val="center"/>
          </w:tcPr>
          <w:p>
            <w:r>
              <w:rPr>
                <w:sz w:val="18"/>
              </w:rPr>
              <w:t>Classification</w:t>
            </w:r>
          </w:p>
        </w:tc>
        <w:tc>
          <w:tcPr>
            <w:tcW w:type="dxa" w:w="4896"/>
            <w:vAlign w:val="center"/>
          </w:tcPr>
          <w:p>
            <w:r>
              <w:rPr>
                <w:sz w:val="18"/>
              </w:rPr>
              <w:t>Internal Institutional Policy</w:t>
            </w:r>
          </w:p>
        </w:tc>
      </w:tr>
    </w:tbl>
    <w:p/>
    <w:p>
      <w:pPr>
        <w:jc w:val="center"/>
      </w:pPr>
      <w:r>
        <w:rPr>
          <w:i/>
          <w:sz w:val="22"/>
        </w:rPr>
        <w:t>Prepared for institutional review and approval</w:t>
      </w:r>
    </w:p>
    <w:p>
      <w:r>
        <w:br w:type="page"/>
      </w:r>
    </w:p>
    <w:p>
      <w:pPr>
        <w:pStyle w:val="Heading1"/>
      </w:pPr>
      <w:r>
        <w:t>Executive Summary</w:t>
      </w:r>
    </w:p>
    <w:p>
      <w:r>
        <w:t>This Information Technology Policy establishes the governance, responsibilities, security requirements, acceptable-use rules, service-management practices, and continuity requirements for information technology resources at Kurdistan Technical Institute (KTI). It is intended to provide a consistent framework for students, academic staff, administrative staff, management, contractors, visitors, and IT personnel.</w:t>
      </w:r>
    </w:p>
    <w:p>
      <w:r>
        <w:t>The policy reflects KTI's digital environment, including its Information Technology Department and institutional digital learning services such as the Learnata platform. KTI publicly identifies the Learnata system as an institutional service and has announced its mobile application for students. The policy therefore includes specific controls for portal/Learnata access, service availability, incident response, and user communication.</w:t>
      </w:r>
    </w:p>
    <w:p>
      <w:r>
        <w:t>This document is a proposed institutional policy for KTI and should be reviewed by management, IT, Quality Assurance, legal/compliance personnel where applicable, and other relevant stakeholders before formal approval.</w:t>
      </w:r>
    </w:p>
    <w:p>
      <w:pPr>
        <w:pStyle w:val="Heading1"/>
      </w:pPr>
      <w:r>
        <w:t>1. Purpose</w:t>
      </w:r>
    </w:p>
    <w:p>
      <w:r>
        <w:t>The purpose of this policy is to ensure that KTI's information technology resources are used securely, responsibly, efficiently, and in support of teaching, learning, research, administration, communication, and institutional operations.</w:t>
      </w:r>
    </w:p>
    <w:p>
      <w:pPr>
        <w:pStyle w:val="ListBullet"/>
        <w:ind w:left="0"/>
      </w:pPr>
      <w:r>
        <w:t>Protect KTI information, systems, networks, applications, and users from unauthorized access and misuse.</w:t>
      </w:r>
    </w:p>
    <w:p>
      <w:pPr>
        <w:pStyle w:val="ListBullet"/>
        <w:ind w:left="0"/>
      </w:pPr>
      <w:r>
        <w:t>Establish clear responsibilities for users and the IT Department.</w:t>
      </w:r>
    </w:p>
    <w:p>
      <w:pPr>
        <w:pStyle w:val="ListBullet"/>
        <w:ind w:left="0"/>
      </w:pPr>
      <w:r>
        <w:t>Provide consistent rules for institutional accounts, devices, software, networks, email, portal services, and Learnata.</w:t>
      </w:r>
    </w:p>
    <w:p>
      <w:pPr>
        <w:pStyle w:val="ListBullet"/>
        <w:ind w:left="0"/>
      </w:pPr>
      <w:r>
        <w:t>Support reliable and secure delivery of critical digital services.</w:t>
      </w:r>
    </w:p>
    <w:p>
      <w:pPr>
        <w:pStyle w:val="ListBullet"/>
        <w:ind w:left="0"/>
      </w:pPr>
      <w:r>
        <w:t>Provide a framework for responding to IT incidents, service outages, and cybersecurity events.</w:t>
      </w:r>
    </w:p>
    <w:p>
      <w:pPr>
        <w:pStyle w:val="ListBullet"/>
        <w:ind w:left="0"/>
      </w:pPr>
      <w:r>
        <w:t>Promote responsible use of institutional technology while respecting privacy, confidentiality, and academic needs.</w:t>
      </w:r>
    </w:p>
    <w:p>
      <w:pPr>
        <w:pStyle w:val="Heading1"/>
      </w:pPr>
      <w:r>
        <w:t>2. Scope</w:t>
      </w:r>
    </w:p>
    <w:p>
      <w:r>
        <w:t>This policy applies to all KTI personnel and users who access or use KTI IT resources, including:</w:t>
      </w:r>
    </w:p>
    <w:p>
      <w:pPr>
        <w:pStyle w:val="ListBullet"/>
        <w:ind w:left="0"/>
      </w:pPr>
      <w:r>
        <w:t>Students and graduates when using active institutional accounts or services.</w:t>
      </w:r>
    </w:p>
    <w:p>
      <w:pPr>
        <w:pStyle w:val="ListBullet"/>
        <w:ind w:left="0"/>
      </w:pPr>
      <w:r>
        <w:t>Academic and teaching staff.</w:t>
      </w:r>
    </w:p>
    <w:p>
      <w:pPr>
        <w:pStyle w:val="ListBullet"/>
        <w:ind w:left="0"/>
      </w:pPr>
      <w:r>
        <w:t>Administrative and support staff.</w:t>
      </w:r>
    </w:p>
    <w:p>
      <w:pPr>
        <w:pStyle w:val="ListBullet"/>
        <w:ind w:left="0"/>
      </w:pPr>
      <w:r>
        <w:t>IT administrators and technical personnel.</w:t>
      </w:r>
    </w:p>
    <w:p>
      <w:pPr>
        <w:pStyle w:val="ListBullet"/>
        <w:ind w:left="0"/>
      </w:pPr>
      <w:r>
        <w:t>Management and authorized committees.</w:t>
      </w:r>
    </w:p>
    <w:p>
      <w:pPr>
        <w:pStyle w:val="ListBullet"/>
        <w:ind w:left="0"/>
      </w:pPr>
      <w:r>
        <w:t>Contractors, vendors, consultants, interns, and other third parties with authorized access.</w:t>
      </w:r>
    </w:p>
    <w:p>
      <w:pPr>
        <w:pStyle w:val="ListBullet"/>
        <w:ind w:left="0"/>
      </w:pPr>
      <w:r>
        <w:t>Visitors who are granted access to KTI technology resources.</w:t>
      </w:r>
    </w:p>
    <w:p>
      <w:r>
        <w:t>It covers, as applicable:</w:t>
      </w:r>
    </w:p>
    <w:p>
      <w:pPr>
        <w:pStyle w:val="ListBullet"/>
        <w:ind w:left="0"/>
      </w:pPr>
      <w:r>
        <w:t>Institutional computers, laptops, tablets, mobile devices, servers, storage, and network equipment.</w:t>
      </w:r>
    </w:p>
    <w:p>
      <w:pPr>
        <w:pStyle w:val="ListBullet"/>
        <w:ind w:left="0"/>
      </w:pPr>
      <w:r>
        <w:t>Wired and wireless networks and Internet access.</w:t>
      </w:r>
    </w:p>
    <w:p>
      <w:pPr>
        <w:pStyle w:val="ListBullet"/>
        <w:ind w:left="0"/>
      </w:pPr>
      <w:r>
        <w:t>Institutional email and communication systems.</w:t>
      </w:r>
    </w:p>
    <w:p>
      <w:pPr>
        <w:pStyle w:val="ListBullet"/>
        <w:ind w:left="0"/>
      </w:pPr>
      <w:r>
        <w:t>The KTI portal and Learnata/LMS services.</w:t>
      </w:r>
    </w:p>
    <w:p>
      <w:pPr>
        <w:pStyle w:val="ListBullet"/>
        <w:ind w:left="0"/>
      </w:pPr>
      <w:r>
        <w:t>Cloud services and approved third-party applications.</w:t>
      </w:r>
    </w:p>
    <w:p>
      <w:pPr>
        <w:pStyle w:val="ListBullet"/>
        <w:ind w:left="0"/>
      </w:pPr>
      <w:r>
        <w:t>Institutional data, databases, records, documents, and backups.</w:t>
      </w:r>
    </w:p>
    <w:p>
      <w:pPr>
        <w:pStyle w:val="ListBullet"/>
        <w:ind w:left="0"/>
      </w:pPr>
      <w:r>
        <w:t>Software, licenses, digital content, and IT-managed applications.</w:t>
      </w:r>
    </w:p>
    <w:p>
      <w:pPr>
        <w:pStyle w:val="Heading1"/>
      </w:pPr>
      <w:r>
        <w:t>3. Policy Principles</w:t>
      </w:r>
    </w:p>
    <w:p>
      <w:pPr>
        <w:pStyle w:val="ListBullet"/>
        <w:ind w:left="0"/>
      </w:pPr>
      <w:r>
        <w:t>Security: IT resources shall be protected against unauthorized access, alteration, loss, or disruption.</w:t>
      </w:r>
    </w:p>
    <w:p>
      <w:pPr>
        <w:pStyle w:val="ListBullet"/>
        <w:ind w:left="0"/>
      </w:pPr>
      <w:r>
        <w:t>Availability: Critical services should be maintained and restored according to their operational importance.</w:t>
      </w:r>
    </w:p>
    <w:p>
      <w:pPr>
        <w:pStyle w:val="ListBullet"/>
        <w:ind w:left="0"/>
      </w:pPr>
      <w:r>
        <w:t>Confidentiality: Sensitive information shall only be accessible to authorized users.</w:t>
      </w:r>
    </w:p>
    <w:p>
      <w:pPr>
        <w:pStyle w:val="ListBullet"/>
        <w:ind w:left="0"/>
      </w:pPr>
      <w:r>
        <w:t>Integrity: Institutional information should remain accurate, complete, and protected from unauthorized modification.</w:t>
      </w:r>
    </w:p>
    <w:p>
      <w:pPr>
        <w:pStyle w:val="ListBullet"/>
        <w:ind w:left="0"/>
      </w:pPr>
      <w:r>
        <w:t>Accountability: Users are responsible for activity performed through their assigned accounts.</w:t>
      </w:r>
    </w:p>
    <w:p>
      <w:pPr>
        <w:pStyle w:val="ListBullet"/>
        <w:ind w:left="0"/>
      </w:pPr>
      <w:r>
        <w:t>Least privilege: Users shall receive only the access required for their duties.</w:t>
      </w:r>
    </w:p>
    <w:p>
      <w:pPr>
        <w:pStyle w:val="ListBullet"/>
        <w:ind w:left="0"/>
      </w:pPr>
      <w:r>
        <w:t>Transparency: Service interruptions and significant changes should be communicated appropriately.</w:t>
      </w:r>
    </w:p>
    <w:p>
      <w:pPr>
        <w:pStyle w:val="ListBullet"/>
        <w:ind w:left="0"/>
      </w:pPr>
      <w:r>
        <w:t>Continuous improvement: IT controls and procedures should be reviewed and improved regularly.</w:t>
      </w:r>
    </w:p>
    <w:p>
      <w:pPr>
        <w:pStyle w:val="Heading1"/>
      </w:pPr>
      <w:r>
        <w:t>4. Roles and Responsibilities</w:t>
      </w:r>
    </w:p>
    <w:p>
      <w:pPr>
        <w:pStyle w:val="Heading2"/>
      </w:pPr>
      <w:r>
        <w:t>4.1 KTI Management</w:t>
      </w:r>
    </w:p>
    <w:p>
      <w:pPr>
        <w:pStyle w:val="ListBullet"/>
        <w:ind w:left="0"/>
      </w:pPr>
      <w:r>
        <w:t>Approve this policy and significant revisions.</w:t>
      </w:r>
    </w:p>
    <w:p>
      <w:pPr>
        <w:pStyle w:val="ListBullet"/>
        <w:ind w:left="0"/>
      </w:pPr>
      <w:r>
        <w:t>Provide appropriate resources for IT operations and cybersecurity.</w:t>
      </w:r>
    </w:p>
    <w:p>
      <w:pPr>
        <w:pStyle w:val="ListBullet"/>
        <w:ind w:left="0"/>
      </w:pPr>
      <w:r>
        <w:t>Support institutional risk management and business continuity.</w:t>
      </w:r>
    </w:p>
    <w:p>
      <w:pPr>
        <w:pStyle w:val="ListBullet"/>
        <w:ind w:left="0"/>
      </w:pPr>
      <w:r>
        <w:t>Assign appropriate authority for IT governance and escalation.</w:t>
      </w:r>
    </w:p>
    <w:p>
      <w:pPr>
        <w:pStyle w:val="Heading2"/>
      </w:pPr>
      <w:r>
        <w:t>4.2 Information Technology Department</w:t>
      </w:r>
    </w:p>
    <w:p>
      <w:pPr>
        <w:pStyle w:val="ListBullet"/>
        <w:ind w:left="0"/>
      </w:pPr>
      <w:r>
        <w:t>Operate and maintain institutional IT infrastructure and services.</w:t>
      </w:r>
    </w:p>
    <w:p>
      <w:pPr>
        <w:pStyle w:val="ListBullet"/>
        <w:ind w:left="0"/>
      </w:pPr>
      <w:r>
        <w:t>Manage user accounts, permissions, systems, networks, backups, and approved applications.</w:t>
      </w:r>
    </w:p>
    <w:p>
      <w:pPr>
        <w:pStyle w:val="ListBullet"/>
        <w:ind w:left="0"/>
      </w:pPr>
      <w:r>
        <w:t>Maintain reasonable security controls and monitor service health.</w:t>
      </w:r>
    </w:p>
    <w:p>
      <w:pPr>
        <w:pStyle w:val="ListBullet"/>
        <w:ind w:left="0"/>
      </w:pPr>
      <w:r>
        <w:t>Respond to incidents and restore services in accordance with priority.</w:t>
      </w:r>
    </w:p>
    <w:p>
      <w:pPr>
        <w:pStyle w:val="ListBullet"/>
        <w:ind w:left="0"/>
      </w:pPr>
      <w:r>
        <w:t>Maintain technical documentation, asset inventories, and configuration records where appropriate.</w:t>
      </w:r>
    </w:p>
    <w:p>
      <w:pPr>
        <w:pStyle w:val="ListBullet"/>
        <w:ind w:left="0"/>
      </w:pPr>
      <w:r>
        <w:t>Provide IT support and user guidance.</w:t>
      </w:r>
    </w:p>
    <w:p>
      <w:pPr>
        <w:pStyle w:val="ListBullet"/>
        <w:ind w:left="0"/>
      </w:pPr>
      <w:r>
        <w:t>Coordinate planned maintenance and communicate significant service interruptions.</w:t>
      </w:r>
    </w:p>
    <w:p>
      <w:pPr>
        <w:pStyle w:val="ListBullet"/>
        <w:ind w:left="0"/>
      </w:pPr>
      <w:r>
        <w:t>Review technology risks and recommend improvements.</w:t>
      </w:r>
    </w:p>
    <w:p>
      <w:pPr>
        <w:pStyle w:val="Heading2"/>
      </w:pPr>
      <w:r>
        <w:t>4.3 Users</w:t>
      </w:r>
    </w:p>
    <w:p>
      <w:pPr>
        <w:pStyle w:val="ListBullet"/>
        <w:ind w:left="0"/>
      </w:pPr>
      <w:r>
        <w:t>Use institutional resources responsibly and only for authorized purposes.</w:t>
      </w:r>
    </w:p>
    <w:p>
      <w:pPr>
        <w:pStyle w:val="ListBullet"/>
        <w:ind w:left="0"/>
      </w:pPr>
      <w:r>
        <w:t>Protect passwords, authentication methods, devices, and institutional information.</w:t>
      </w:r>
    </w:p>
    <w:p>
      <w:pPr>
        <w:pStyle w:val="ListBullet"/>
        <w:ind w:left="0"/>
      </w:pPr>
      <w:r>
        <w:t>Follow security instructions and report suspected incidents promptly.</w:t>
      </w:r>
    </w:p>
    <w:p>
      <w:pPr>
        <w:pStyle w:val="ListBullet"/>
        <w:ind w:left="0"/>
      </w:pPr>
      <w:r>
        <w:t>Do not attempt to bypass security controls or access unauthorized resources.</w:t>
      </w:r>
    </w:p>
    <w:p>
      <w:pPr>
        <w:pStyle w:val="ListBullet"/>
        <w:ind w:left="0"/>
      </w:pPr>
      <w:r>
        <w:t>Use only approved software and services for institutional work where required.</w:t>
      </w:r>
    </w:p>
    <w:p>
      <w:pPr>
        <w:pStyle w:val="ListBullet"/>
        <w:ind w:left="0"/>
      </w:pPr>
      <w:r>
        <w:t>Return institutional equipment when requested or when access ends.</w:t>
      </w:r>
    </w:p>
    <w:p>
      <w:pPr>
        <w:pStyle w:val="Heading1"/>
      </w:pPr>
      <w:r>
        <w:t>5. Account and Access Management</w:t>
      </w:r>
    </w:p>
    <w:p>
      <w:pPr>
        <w:pStyle w:val="ListBullet"/>
        <w:ind w:left="0"/>
      </w:pPr>
      <w:r>
        <w:t>Each user shall have an individual account unless a formally approved shared/service account is required.</w:t>
      </w:r>
    </w:p>
    <w:p>
      <w:pPr>
        <w:pStyle w:val="ListBullet"/>
        <w:ind w:left="0"/>
      </w:pPr>
      <w:r>
        <w:t>Users shall not share passwords or authentication credentials.</w:t>
      </w:r>
    </w:p>
    <w:p>
      <w:pPr>
        <w:pStyle w:val="ListBullet"/>
        <w:ind w:left="0"/>
      </w:pPr>
      <w:r>
        <w:t>Access shall be granted according to job role, academic role, or approved institutional need.</w:t>
      </w:r>
    </w:p>
    <w:p>
      <w:pPr>
        <w:pStyle w:val="ListBullet"/>
        <w:ind w:left="0"/>
      </w:pPr>
      <w:r>
        <w:t>Privileged administrator access shall be restricted to authorized IT personnel.</w:t>
      </w:r>
    </w:p>
    <w:p>
      <w:pPr>
        <w:pStyle w:val="ListBullet"/>
        <w:ind w:left="0"/>
      </w:pPr>
      <w:r>
        <w:t>Inactive or unnecessary accounts should be reviewed and disabled according to institutional procedures.</w:t>
      </w:r>
    </w:p>
    <w:p>
      <w:pPr>
        <w:pStyle w:val="ListBullet"/>
        <w:ind w:left="0"/>
      </w:pPr>
      <w:r>
        <w:t>When a staff member leaves KTI, access should be disabled promptly after the authorized separation notification.</w:t>
      </w:r>
    </w:p>
    <w:p>
      <w:pPr>
        <w:pStyle w:val="ListBullet"/>
        <w:ind w:left="0"/>
      </w:pPr>
      <w:r>
        <w:t>Student accounts should be managed according to enrollment and institutional retention requirements.</w:t>
      </w:r>
    </w:p>
    <w:p>
      <w:pPr>
        <w:pStyle w:val="ListBullet"/>
        <w:ind w:left="0"/>
      </w:pPr>
      <w:r>
        <w:t>Access to sensitive systems should be periodically reviewed.</w:t>
      </w:r>
    </w:p>
    <w:p>
      <w:pPr>
        <w:pStyle w:val="Heading1"/>
      </w:pPr>
      <w:r>
        <w:t>6. Password and Authentication Policy</w:t>
      </w:r>
    </w:p>
    <w:p>
      <w:pPr>
        <w:pStyle w:val="ListBullet"/>
        <w:ind w:left="0"/>
      </w:pPr>
      <w:r>
        <w:t>Passwords must be kept confidential and must not be shared with other users or support personnel.</w:t>
      </w:r>
    </w:p>
    <w:p>
      <w:pPr>
        <w:pStyle w:val="ListBullet"/>
        <w:ind w:left="0"/>
      </w:pPr>
      <w:r>
        <w:t>Users should use strong, unique passwords for institutional accounts.</w:t>
      </w:r>
    </w:p>
    <w:p>
      <w:pPr>
        <w:pStyle w:val="ListBullet"/>
        <w:ind w:left="0"/>
      </w:pPr>
      <w:r>
        <w:t>Where supported, multi-factor authentication (MFA) should be enabled, especially for administrators and critical services.</w:t>
      </w:r>
    </w:p>
    <w:p>
      <w:pPr>
        <w:pStyle w:val="ListBullet"/>
        <w:ind w:left="0"/>
      </w:pPr>
      <w:r>
        <w:t>Users must not reuse institutional passwords for unrelated personal services.</w:t>
      </w:r>
    </w:p>
    <w:p>
      <w:pPr>
        <w:pStyle w:val="ListBullet"/>
        <w:ind w:left="0"/>
      </w:pPr>
      <w:r>
        <w:t>If a user suspects that a password has been exposed, the password must be changed and IT notified when appropriate.</w:t>
      </w:r>
    </w:p>
    <w:p>
      <w:pPr>
        <w:pStyle w:val="ListBullet"/>
        <w:ind w:left="0"/>
      </w:pPr>
      <w:r>
        <w:t>IT personnel should never request a user's password through ordinary email or messaging.</w:t>
      </w:r>
    </w:p>
    <w:p>
      <w:pPr>
        <w:pStyle w:val="ListBullet"/>
        <w:ind w:left="0"/>
      </w:pPr>
      <w:r>
        <w:t>Administrative credentials should use separate privileged accounts where technically practical.</w:t>
      </w:r>
    </w:p>
    <w:p>
      <w:pPr>
        <w:pStyle w:val="Heading1"/>
      </w:pPr>
      <w:r>
        <w:t>7. Acceptable Use</w:t>
      </w:r>
    </w:p>
    <w:p>
      <w:r>
        <w:t>KTI technology resources are provided to support institutional activities. Users may:</w:t>
      </w:r>
    </w:p>
    <w:p>
      <w:pPr>
        <w:pStyle w:val="ListBullet"/>
        <w:ind w:left="0"/>
      </w:pPr>
      <w:r>
        <w:t>Access educational and administrative resources relevant to their role.</w:t>
      </w:r>
    </w:p>
    <w:p>
      <w:pPr>
        <w:pStyle w:val="ListBullet"/>
        <w:ind w:left="0"/>
      </w:pPr>
      <w:r>
        <w:t>Use approved communication and collaboration tools.</w:t>
      </w:r>
    </w:p>
    <w:p>
      <w:pPr>
        <w:pStyle w:val="ListBullet"/>
        <w:ind w:left="0"/>
      </w:pPr>
      <w:r>
        <w:t>Access academic materials, research resources, and institutional systems.</w:t>
      </w:r>
    </w:p>
    <w:p>
      <w:pPr>
        <w:pStyle w:val="ListBullet"/>
        <w:ind w:left="0"/>
      </w:pPr>
      <w:r>
        <w:t>Use the Internet for reasonable educational, professional, and limited personal purposes where this does not interfere with work, consume excessive resources, or violate law or institutional rules.</w:t>
      </w:r>
    </w:p>
    <w:p>
      <w:r>
        <w:t>Users must not:</w:t>
      </w:r>
    </w:p>
    <w:p>
      <w:pPr>
        <w:pStyle w:val="ListBullet"/>
        <w:ind w:left="0"/>
      </w:pPr>
      <w:r>
        <w:t>Attempt unauthorized access to systems, accounts, databases, or networks.</w:t>
      </w:r>
    </w:p>
    <w:p>
      <w:pPr>
        <w:pStyle w:val="ListBullet"/>
        <w:ind w:left="0"/>
      </w:pPr>
      <w:r>
        <w:t>Install malware, ransomware, spyware, or other malicious software.</w:t>
      </w:r>
    </w:p>
    <w:p>
      <w:pPr>
        <w:pStyle w:val="ListBullet"/>
        <w:ind w:left="0"/>
      </w:pPr>
      <w:r>
        <w:t>Use KTI systems to conduct illegal activity.</w:t>
      </w:r>
    </w:p>
    <w:p>
      <w:pPr>
        <w:pStyle w:val="ListBullet"/>
        <w:ind w:left="0"/>
      </w:pPr>
      <w:r>
        <w:t>Intentionally disrupt or degrade network or system availability.</w:t>
      </w:r>
    </w:p>
    <w:p>
      <w:pPr>
        <w:pStyle w:val="ListBullet"/>
        <w:ind w:left="0"/>
      </w:pPr>
      <w:r>
        <w:t>Conduct unauthorized vulnerability scanning, penetration testing, or security testing.</w:t>
      </w:r>
    </w:p>
    <w:p>
      <w:pPr>
        <w:pStyle w:val="ListBullet"/>
        <w:ind w:left="0"/>
      </w:pPr>
      <w:r>
        <w:t>Access, copy, alter, or distribute confidential information without authorization.</w:t>
      </w:r>
    </w:p>
    <w:p>
      <w:pPr>
        <w:pStyle w:val="ListBullet"/>
        <w:ind w:left="0"/>
      </w:pPr>
      <w:r>
        <w:t>Use institutional resources to harass, threaten, impersonate, defraud, or harm others.</w:t>
      </w:r>
    </w:p>
    <w:p>
      <w:pPr>
        <w:pStyle w:val="ListBullet"/>
        <w:ind w:left="0"/>
      </w:pPr>
      <w:r>
        <w:t>Use pirated or unlicensed software on institutional equipment.</w:t>
      </w:r>
    </w:p>
    <w:p>
      <w:pPr>
        <w:pStyle w:val="Heading1"/>
      </w:pPr>
      <w:r>
        <w:t>8. Internet, Wi-Fi and Network Usage</w:t>
      </w:r>
    </w:p>
    <w:p>
      <w:pPr>
        <w:pStyle w:val="ListBullet"/>
        <w:ind w:left="0"/>
      </w:pPr>
      <w:r>
        <w:t>Network access is a managed institutional service and may be subject to capacity, security, and acceptable-use controls.</w:t>
      </w:r>
    </w:p>
    <w:p>
      <w:pPr>
        <w:pStyle w:val="ListBullet"/>
        <w:ind w:left="0"/>
      </w:pPr>
      <w:r>
        <w:t>Users must not connect unauthorized networking equipment that could affect institutional security or availability.</w:t>
      </w:r>
    </w:p>
    <w:p>
      <w:pPr>
        <w:pStyle w:val="ListBullet"/>
        <w:ind w:left="0"/>
      </w:pPr>
      <w:r>
        <w:t>Personal hotspots may be used where permitted and where they do not interfere with institutional operations.</w:t>
      </w:r>
    </w:p>
    <w:p>
      <w:pPr>
        <w:pStyle w:val="ListBullet"/>
        <w:ind w:left="0"/>
      </w:pPr>
      <w:r>
        <w:t>Network credentials must not be shared with unauthorized individuals.</w:t>
      </w:r>
    </w:p>
    <w:p>
      <w:pPr>
        <w:pStyle w:val="ListBullet"/>
        <w:ind w:left="0"/>
      </w:pPr>
      <w:r>
        <w:t>The IT Department may implement filtering, access controls, logging, or rate limitations for legitimate security and operational purposes, subject to applicable institutional rules.</w:t>
      </w:r>
    </w:p>
    <w:p>
      <w:pPr>
        <w:pStyle w:val="Heading1"/>
      </w:pPr>
      <w:r>
        <w:t>9. Email and Digital Communication</w:t>
      </w:r>
    </w:p>
    <w:p>
      <w:pPr>
        <w:pStyle w:val="ListBullet"/>
        <w:ind w:left="0"/>
      </w:pPr>
      <w:r>
        <w:t>Institutional email accounts should be used for official academic and administrative communication.</w:t>
      </w:r>
    </w:p>
    <w:p>
      <w:pPr>
        <w:pStyle w:val="ListBullet"/>
        <w:ind w:left="0"/>
      </w:pPr>
      <w:r>
        <w:t>Users should verify unexpected requests involving passwords, payments, confidential information, or urgent transfers.</w:t>
      </w:r>
    </w:p>
    <w:p>
      <w:pPr>
        <w:pStyle w:val="ListBullet"/>
        <w:ind w:left="0"/>
      </w:pPr>
      <w:r>
        <w:t>Suspicious links and attachments should not be opened without appropriate verification.</w:t>
      </w:r>
    </w:p>
    <w:p>
      <w:pPr>
        <w:pStyle w:val="ListBullet"/>
        <w:ind w:left="0"/>
      </w:pPr>
      <w:r>
        <w:t>Users should report suspected phishing or compromised accounts to IT.</w:t>
      </w:r>
    </w:p>
    <w:p>
      <w:pPr>
        <w:pStyle w:val="ListBullet"/>
        <w:ind w:left="0"/>
      </w:pPr>
      <w:r>
        <w:t>Mass communications should follow authorized institutional communication procedures.</w:t>
      </w:r>
    </w:p>
    <w:p>
      <w:pPr>
        <w:pStyle w:val="ListBullet"/>
        <w:ind w:left="0"/>
      </w:pPr>
      <w:r>
        <w:t>Users should not impersonate another person or use misleading sender information.</w:t>
      </w:r>
    </w:p>
    <w:p>
      <w:pPr>
        <w:pStyle w:val="Heading1"/>
      </w:pPr>
      <w:r>
        <w:t>10. Portal and Learnata/LMS Policy</w:t>
      </w:r>
    </w:p>
    <w:p>
      <w:r>
        <w:t>KTI's IT Department publicly identifies the Learnata system as an institutional service, and KTI has announced the Learnata application as a digital learning service for students. Accordingly, the following controls apply.</w:t>
      </w:r>
    </w:p>
    <w:p>
      <w:pPr>
        <w:pStyle w:val="ListBullet"/>
        <w:ind w:left="0"/>
      </w:pPr>
      <w:r>
        <w:t>Portal and Learnata accounts are personal and must not be shared.</w:t>
      </w:r>
    </w:p>
    <w:p>
      <w:pPr>
        <w:pStyle w:val="ListBullet"/>
        <w:ind w:left="0"/>
      </w:pPr>
      <w:r>
        <w:t>Users are responsible for protecting access to their accounts and reporting suspected compromise.</w:t>
      </w:r>
    </w:p>
    <w:p>
      <w:pPr>
        <w:pStyle w:val="ListBullet"/>
        <w:ind w:left="0"/>
      </w:pPr>
      <w:r>
        <w:t>Students and staff must not attempt to access another person's grades, files, messages, attendance records, or other restricted information.</w:t>
      </w:r>
    </w:p>
    <w:p>
      <w:pPr>
        <w:pStyle w:val="ListBullet"/>
        <w:ind w:left="0"/>
      </w:pPr>
      <w:r>
        <w:t>Users must not upload malicious, illegal, copyrighted, or otherwise unauthorized content.</w:t>
      </w:r>
    </w:p>
    <w:p>
      <w:pPr>
        <w:pStyle w:val="ListBullet"/>
        <w:ind w:left="0"/>
      </w:pPr>
      <w:r>
        <w:t>Academic records and assessment information must be treated as confidential.</w:t>
      </w:r>
    </w:p>
    <w:p>
      <w:pPr>
        <w:pStyle w:val="ListBullet"/>
        <w:ind w:left="0"/>
      </w:pPr>
      <w:r>
        <w:t>Only authorized personnel may create, modify, publish, or delete official academic records.</w:t>
      </w:r>
    </w:p>
    <w:p>
      <w:pPr>
        <w:pStyle w:val="ListBullet"/>
        <w:ind w:left="0"/>
      </w:pPr>
      <w:r>
        <w:t>The IT Department shall maintain appropriate access controls and backups for critical platform data where technically and operationally feasible.</w:t>
      </w:r>
    </w:p>
    <w:p>
      <w:pPr>
        <w:pStyle w:val="ListBullet"/>
        <w:ind w:left="0"/>
      </w:pPr>
      <w:r>
        <w:t>Planned maintenance should be communicated in advance where practical.</w:t>
      </w:r>
    </w:p>
    <w:p>
      <w:pPr>
        <w:pStyle w:val="Heading1"/>
      </w:pPr>
      <w:r>
        <w:t>11. Software Management and Licensing</w:t>
      </w:r>
    </w:p>
    <w:p>
      <w:pPr>
        <w:pStyle w:val="ListBullet"/>
        <w:ind w:left="0"/>
      </w:pPr>
      <w:r>
        <w:t>Software installed on KTI-managed devices should be approved and appropriately licensed.</w:t>
      </w:r>
    </w:p>
    <w:p>
      <w:pPr>
        <w:pStyle w:val="ListBullet"/>
        <w:ind w:left="0"/>
      </w:pPr>
      <w:r>
        <w:t>Users must not install cracked, pirated, or unauthorized software.</w:t>
      </w:r>
    </w:p>
    <w:p>
      <w:pPr>
        <w:pStyle w:val="ListBullet"/>
        <w:ind w:left="0"/>
      </w:pPr>
      <w:r>
        <w:t>IT may remove software that creates a security, licensing, performance, or compliance risk.</w:t>
      </w:r>
    </w:p>
    <w:p>
      <w:pPr>
        <w:pStyle w:val="ListBullet"/>
        <w:ind w:left="0"/>
      </w:pPr>
      <w:r>
        <w:t>Software should be patched and updated according to risk and operational requirements.</w:t>
      </w:r>
    </w:p>
    <w:p>
      <w:pPr>
        <w:pStyle w:val="ListBullet"/>
        <w:ind w:left="0"/>
      </w:pPr>
      <w:r>
        <w:t>Where possible, IT should maintain an inventory of institutionally managed software and licenses.</w:t>
      </w:r>
    </w:p>
    <w:p>
      <w:pPr>
        <w:pStyle w:val="Heading1"/>
      </w:pPr>
      <w:r>
        <w:t>12. Hardware and Asset Management</w:t>
      </w:r>
    </w:p>
    <w:p>
      <w:pPr>
        <w:pStyle w:val="ListBullet"/>
        <w:ind w:left="0"/>
      </w:pPr>
      <w:r>
        <w:t>KTI-owned IT equipment remains institutional property unless formally transferred.</w:t>
      </w:r>
    </w:p>
    <w:p>
      <w:pPr>
        <w:pStyle w:val="ListBullet"/>
        <w:ind w:left="0"/>
      </w:pPr>
      <w:r>
        <w:t>Users are responsible for reasonable care of assigned equipment.</w:t>
      </w:r>
    </w:p>
    <w:p>
      <w:pPr>
        <w:pStyle w:val="ListBullet"/>
        <w:ind w:left="0"/>
      </w:pPr>
      <w:r>
        <w:t>Loss, theft, or significant damage must be reported promptly.</w:t>
      </w:r>
    </w:p>
    <w:p>
      <w:pPr>
        <w:pStyle w:val="ListBullet"/>
        <w:ind w:left="0"/>
      </w:pPr>
      <w:r>
        <w:t>IT should maintain an asset inventory for important institutional equipment.</w:t>
      </w:r>
    </w:p>
    <w:p>
      <w:pPr>
        <w:pStyle w:val="ListBullet"/>
        <w:ind w:left="0"/>
      </w:pPr>
      <w:r>
        <w:t>Equipment should be securely disposed of or reassigned through an authorized process.</w:t>
      </w:r>
    </w:p>
    <w:p>
      <w:pPr>
        <w:pStyle w:val="ListBullet"/>
        <w:ind w:left="0"/>
      </w:pPr>
      <w:r>
        <w:t>Storage media containing sensitive information should be securely erased or physically destroyed before disposal where appropriate.</w:t>
      </w:r>
    </w:p>
    <w:p>
      <w:pPr>
        <w:pStyle w:val="Heading1"/>
      </w:pPr>
      <w:r>
        <w:t>13. Data Classification and Protection</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tcPr>
          <w:p>
            <w:r>
              <w:rPr>
                <w:b/>
                <w:sz w:val="18"/>
              </w:rPr>
              <w:t>Classification</w:t>
            </w:r>
          </w:p>
        </w:tc>
        <w:tc>
          <w:tcPr>
            <w:tcW w:type="dxa" w:w="3264"/>
            <w:vAlign w:val="center"/>
          </w:tcPr>
          <w:p>
            <w:r>
              <w:rPr>
                <w:b/>
                <w:sz w:val="18"/>
              </w:rPr>
              <w:t>Examples</w:t>
            </w:r>
          </w:p>
        </w:tc>
        <w:tc>
          <w:tcPr>
            <w:tcW w:type="dxa" w:w="3264"/>
            <w:vAlign w:val="center"/>
          </w:tcPr>
          <w:p>
            <w:r>
              <w:rPr>
                <w:b/>
                <w:sz w:val="18"/>
              </w:rPr>
              <w:t>Handling</w:t>
            </w:r>
          </w:p>
        </w:tc>
      </w:tr>
      <w:tr>
        <w:tc>
          <w:tcPr>
            <w:tcW w:type="dxa" w:w="3264"/>
            <w:vAlign w:val="center"/>
          </w:tcPr>
          <w:p>
            <w:r>
              <w:rPr>
                <w:sz w:val="18"/>
              </w:rPr>
              <w:t>Public</w:t>
            </w:r>
          </w:p>
        </w:tc>
        <w:tc>
          <w:tcPr>
            <w:tcW w:type="dxa" w:w="3264"/>
            <w:vAlign w:val="center"/>
          </w:tcPr>
          <w:p>
            <w:r>
              <w:rPr>
                <w:sz w:val="18"/>
              </w:rPr>
              <w:t>Published announcements, public website content</w:t>
            </w:r>
          </w:p>
        </w:tc>
        <w:tc>
          <w:tcPr>
            <w:tcW w:type="dxa" w:w="3264"/>
            <w:vAlign w:val="center"/>
          </w:tcPr>
          <w:p>
            <w:r>
              <w:rPr>
                <w:sz w:val="18"/>
              </w:rPr>
              <w:t>May be shared publicly when approved.</w:t>
            </w:r>
          </w:p>
        </w:tc>
      </w:tr>
      <w:tr>
        <w:tc>
          <w:tcPr>
            <w:tcW w:type="dxa" w:w="3264"/>
            <w:vAlign w:val="center"/>
          </w:tcPr>
          <w:p>
            <w:r>
              <w:rPr>
                <w:sz w:val="18"/>
              </w:rPr>
              <w:t>Internal</w:t>
            </w:r>
          </w:p>
        </w:tc>
        <w:tc>
          <w:tcPr>
            <w:tcW w:type="dxa" w:w="3264"/>
            <w:vAlign w:val="center"/>
          </w:tcPr>
          <w:p>
            <w:r>
              <w:rPr>
                <w:sz w:val="18"/>
              </w:rPr>
              <w:t>Routine internal procedures, non-public operational information</w:t>
            </w:r>
          </w:p>
        </w:tc>
        <w:tc>
          <w:tcPr>
            <w:tcW w:type="dxa" w:w="3264"/>
            <w:vAlign w:val="center"/>
          </w:tcPr>
          <w:p>
            <w:r>
              <w:rPr>
                <w:sz w:val="18"/>
              </w:rPr>
              <w:t>Share only with authorized institutional users.</w:t>
            </w:r>
          </w:p>
        </w:tc>
      </w:tr>
      <w:tr>
        <w:tc>
          <w:tcPr>
            <w:tcW w:type="dxa" w:w="3264"/>
            <w:vAlign w:val="center"/>
          </w:tcPr>
          <w:p>
            <w:r>
              <w:rPr>
                <w:sz w:val="18"/>
              </w:rPr>
              <w:t>Confidential</w:t>
            </w:r>
          </w:p>
        </w:tc>
        <w:tc>
          <w:tcPr>
            <w:tcW w:type="dxa" w:w="3264"/>
            <w:vAlign w:val="center"/>
          </w:tcPr>
          <w:p>
            <w:r>
              <w:rPr>
                <w:sz w:val="18"/>
              </w:rPr>
              <w:t>Student/staff records, grades, HR records, internal reports</w:t>
            </w:r>
          </w:p>
        </w:tc>
        <w:tc>
          <w:tcPr>
            <w:tcW w:type="dxa" w:w="3264"/>
            <w:vAlign w:val="center"/>
          </w:tcPr>
          <w:p>
            <w:r>
              <w:rPr>
                <w:sz w:val="18"/>
              </w:rPr>
              <w:t>Restricted to authorized users; protect during storage and transfer.</w:t>
            </w:r>
          </w:p>
        </w:tc>
      </w:tr>
      <w:tr>
        <w:tc>
          <w:tcPr>
            <w:tcW w:type="dxa" w:w="3264"/>
            <w:vAlign w:val="center"/>
          </w:tcPr>
          <w:p>
            <w:r>
              <w:rPr>
                <w:sz w:val="18"/>
              </w:rPr>
              <w:t>Highly Sensitive</w:t>
            </w:r>
          </w:p>
        </w:tc>
        <w:tc>
          <w:tcPr>
            <w:tcW w:type="dxa" w:w="3264"/>
            <w:vAlign w:val="center"/>
          </w:tcPr>
          <w:p>
            <w:r>
              <w:rPr>
                <w:sz w:val="18"/>
              </w:rPr>
              <w:t>Passwords, authentication secrets, highly sensitive personal or security data</w:t>
            </w:r>
          </w:p>
        </w:tc>
        <w:tc>
          <w:tcPr>
            <w:tcW w:type="dxa" w:w="3264"/>
            <w:vAlign w:val="center"/>
          </w:tcPr>
          <w:p>
            <w:r>
              <w:rPr>
                <w:sz w:val="18"/>
              </w:rPr>
              <w:t>Strict access control, secure storage, and controlled transmission.</w:t>
            </w:r>
          </w:p>
        </w:tc>
      </w:tr>
    </w:tbl>
    <w:p>
      <w:r>
        <w:t>Users shall not disclose confidential or highly sensitive institutional information to unauthorized persons. Sensitive information should be transmitted through approved secure channels.</w:t>
      </w:r>
    </w:p>
    <w:p>
      <w:pPr>
        <w:pStyle w:val="Heading1"/>
      </w:pPr>
      <w:r>
        <w:t>14. Privacy and Confidentiality</w:t>
      </w:r>
    </w:p>
    <w:p>
      <w:pPr>
        <w:pStyle w:val="ListBullet"/>
        <w:ind w:left="0"/>
      </w:pPr>
      <w:r>
        <w:t>KTI shall seek to protect personal and institutional information held within its IT systems.</w:t>
      </w:r>
    </w:p>
    <w:p>
      <w:pPr>
        <w:pStyle w:val="ListBullet"/>
        <w:ind w:left="0"/>
      </w:pPr>
      <w:r>
        <w:t>Access to user or institutional data by IT personnel should be based on legitimate operational, security, legal, or authorized administrative need.</w:t>
      </w:r>
    </w:p>
    <w:p>
      <w:pPr>
        <w:pStyle w:val="ListBullet"/>
        <w:ind w:left="0"/>
      </w:pPr>
      <w:r>
        <w:t>System logs and security records should be handled as controlled institutional information.</w:t>
      </w:r>
    </w:p>
    <w:p>
      <w:pPr>
        <w:pStyle w:val="ListBullet"/>
        <w:ind w:left="0"/>
      </w:pPr>
      <w:r>
        <w:t>Monitoring activities should be proportionate to legitimate security and operational purposes and conducted in accordance with applicable KTI rules and law.</w:t>
      </w:r>
    </w:p>
    <w:p>
      <w:pPr>
        <w:pStyle w:val="Heading1"/>
      </w:pPr>
      <w:r>
        <w:t>15. Cybersecurity Controls</w:t>
      </w:r>
    </w:p>
    <w:p>
      <w:pPr>
        <w:pStyle w:val="ListBullet"/>
        <w:ind w:left="0"/>
      </w:pPr>
      <w:r>
        <w:t>KTI-managed systems should use appropriate endpoint protection and firewall controls.</w:t>
      </w:r>
    </w:p>
    <w:p>
      <w:pPr>
        <w:pStyle w:val="ListBullet"/>
        <w:ind w:left="0"/>
      </w:pPr>
      <w:r>
        <w:t>Critical systems should receive security updates according to risk and operational requirements.</w:t>
      </w:r>
    </w:p>
    <w:p>
      <w:pPr>
        <w:pStyle w:val="ListBullet"/>
        <w:ind w:left="0"/>
      </w:pPr>
      <w:r>
        <w:t>Administrative access should be restricted and monitored where practical.</w:t>
      </w:r>
    </w:p>
    <w:p>
      <w:pPr>
        <w:pStyle w:val="ListBullet"/>
        <w:ind w:left="0"/>
      </w:pPr>
      <w:r>
        <w:t>Important services should have backups and recovery procedures.</w:t>
      </w:r>
    </w:p>
    <w:p>
      <w:pPr>
        <w:pStyle w:val="ListBullet"/>
        <w:ind w:left="0"/>
      </w:pPr>
      <w:r>
        <w:t>IT should monitor for significant security events and investigate credible incidents.</w:t>
      </w:r>
    </w:p>
    <w:p>
      <w:pPr>
        <w:pStyle w:val="ListBullet"/>
        <w:ind w:left="0"/>
      </w:pPr>
      <w:r>
        <w:t>Security awareness guidance should be provided to users periodically.</w:t>
      </w:r>
    </w:p>
    <w:p>
      <w:pPr>
        <w:pStyle w:val="ListBullet"/>
        <w:ind w:left="0"/>
      </w:pPr>
      <w:r>
        <w:t>External remote access to sensitive systems should use approved secure methods.</w:t>
      </w:r>
    </w:p>
    <w:p>
      <w:pPr>
        <w:pStyle w:val="Heading1"/>
      </w:pPr>
      <w:r>
        <w:t>16. Backup and Recovery Policy</w:t>
      </w:r>
    </w:p>
    <w:p>
      <w:pPr>
        <w:pStyle w:val="ListBullet"/>
        <w:ind w:left="0"/>
      </w:pPr>
      <w:r>
        <w:t>Critical institutional data should be backed up according to its importance and recovery requirements.</w:t>
      </w:r>
    </w:p>
    <w:p>
      <w:pPr>
        <w:pStyle w:val="ListBullet"/>
        <w:ind w:left="0"/>
      </w:pPr>
      <w:r>
        <w:t>Backups should be protected from unauthorized access and accidental deletion.</w:t>
      </w:r>
    </w:p>
    <w:p>
      <w:pPr>
        <w:pStyle w:val="ListBullet"/>
        <w:ind w:left="0"/>
      </w:pPr>
      <w:r>
        <w:t>Backup jobs should be monitored and failures investigated.</w:t>
      </w:r>
    </w:p>
    <w:p>
      <w:pPr>
        <w:pStyle w:val="ListBullet"/>
        <w:ind w:left="0"/>
      </w:pPr>
      <w:r>
        <w:t>Recovery tests should be performed periodically for critical services.</w:t>
      </w:r>
    </w:p>
    <w:p>
      <w:pPr>
        <w:pStyle w:val="ListBullet"/>
        <w:ind w:left="0"/>
      </w:pPr>
      <w:r>
        <w:t>Backup retention periods should be defined by system importance, operational needs, and applicable requirements.</w:t>
      </w:r>
    </w:p>
    <w:p>
      <w:pPr>
        <w:pStyle w:val="ListBullet"/>
        <w:ind w:left="0"/>
      </w:pPr>
      <w:r>
        <w:t>Where feasible, important backups should be logically or physically separated from production systems to reduce ransomware and accidental-deletion risk.</w:t>
      </w:r>
    </w:p>
    <w:p>
      <w:pPr>
        <w:pStyle w:val="Heading1"/>
      </w:pPr>
      <w:r>
        <w:t>17. IT Service Availability and Maintenance</w:t>
      </w:r>
    </w:p>
    <w:p>
      <w:r>
        <w:t>The IT Department may temporarily suspend or restrict services for maintenance, upgrades, security response, technical troubleshooting, infrastructure failure, or other operational reasons.</w:t>
      </w:r>
    </w:p>
    <w:p>
      <w:pPr>
        <w:pStyle w:val="ListBullet"/>
        <w:ind w:left="0"/>
      </w:pPr>
      <w:r>
        <w:t>Planned maintenance should be scheduled and communicated in advance where practical.</w:t>
      </w:r>
    </w:p>
    <w:p>
      <w:pPr>
        <w:pStyle w:val="ListBullet"/>
        <w:ind w:left="0"/>
      </w:pPr>
      <w:r>
        <w:t>Emergency maintenance may occur without advance notice when necessary to protect systems or restore service.</w:t>
      </w:r>
    </w:p>
    <w:p>
      <w:pPr>
        <w:pStyle w:val="ListBullet"/>
        <w:ind w:left="0"/>
      </w:pPr>
      <w:r>
        <w:t>Critical outages should be recorded and assigned an incident owner.</w:t>
      </w:r>
    </w:p>
    <w:p>
      <w:pPr>
        <w:pStyle w:val="ListBullet"/>
        <w:ind w:left="0"/>
      </w:pPr>
      <w:r>
        <w:t>Users should receive status updates when an outage materially affects teaching, assessment, administration, or other critical activities.</w:t>
      </w:r>
    </w:p>
    <w:p>
      <w:pPr>
        <w:pStyle w:val="ListBullet"/>
        <w:ind w:left="0"/>
      </w:pPr>
      <w:r>
        <w:t>A service restoration notice should be issued when a significant outage has been resolved.</w:t>
      </w:r>
    </w:p>
    <w:p>
      <w:pPr>
        <w:pStyle w:val="ListBullet"/>
        <w:ind w:left="0"/>
      </w:pPr>
      <w:r>
        <w:t>Post-incident review should be performed for major or repeated outages.</w:t>
      </w:r>
    </w:p>
    <w:p>
      <w:pPr>
        <w:pStyle w:val="Heading1"/>
      </w:pPr>
      <w:r>
        <w:t>18. IT Incident Reporting and Response</w:t>
      </w:r>
    </w:p>
    <w:p>
      <w:r>
        <w:t>Users should report incidents such as:</w:t>
      </w:r>
    </w:p>
    <w:p>
      <w:pPr>
        <w:pStyle w:val="ListBullet"/>
        <w:ind w:left="0"/>
      </w:pPr>
      <w:r>
        <w:t>Suspected hacked or compromised accounts.</w:t>
      </w:r>
    </w:p>
    <w:p>
      <w:pPr>
        <w:pStyle w:val="ListBullet"/>
        <w:ind w:left="0"/>
      </w:pPr>
      <w:r>
        <w:t>Phishing, malware, ransomware, or suspicious files.</w:t>
      </w:r>
    </w:p>
    <w:p>
      <w:pPr>
        <w:pStyle w:val="ListBullet"/>
        <w:ind w:left="0"/>
      </w:pPr>
      <w:r>
        <w:t>Unauthorized access or disclosure of information.</w:t>
      </w:r>
    </w:p>
    <w:p>
      <w:pPr>
        <w:pStyle w:val="ListBullet"/>
        <w:ind w:left="0"/>
      </w:pPr>
      <w:r>
        <w:t>Lost or stolen institutional devices.</w:t>
      </w:r>
    </w:p>
    <w:p>
      <w:pPr>
        <w:pStyle w:val="ListBullet"/>
        <w:ind w:left="0"/>
      </w:pPr>
      <w:r>
        <w:t>Unexpected changes to grades, records, or important files.</w:t>
      </w:r>
    </w:p>
    <w:p>
      <w:pPr>
        <w:pStyle w:val="ListBullet"/>
        <w:ind w:left="0"/>
      </w:pPr>
      <w:r>
        <w:t>Portal, Learnata, email, network, or other critical service outages.</w:t>
      </w:r>
    </w:p>
    <w:p>
      <w:pPr>
        <w:pStyle w:val="ListBullet"/>
        <w:ind w:left="0"/>
      </w:pPr>
      <w:r>
        <w:t>Suspected data loss or accidental disclosure.</w:t>
      </w:r>
    </w:p>
    <w:p>
      <w:pPr>
        <w:pStyle w:val="Heading2"/>
      </w:pPr>
      <w:r>
        <w:t>18.1 Incident Response Process</w:t>
      </w:r>
    </w:p>
    <w:p>
      <w:pPr>
        <w:pStyle w:val="ListNumber"/>
      </w:pPr>
      <w:r>
        <w:t>Receive and record the incident.</w:t>
      </w:r>
    </w:p>
    <w:p>
      <w:pPr>
        <w:pStyle w:val="ListNumber"/>
      </w:pPr>
      <w:r>
        <w:t>Assess severity, affected systems, users, and data.</w:t>
      </w:r>
    </w:p>
    <w:p>
      <w:pPr>
        <w:pStyle w:val="ListNumber"/>
      </w:pPr>
      <w:r>
        <w:t>Contain the incident where appropriate.</w:t>
      </w:r>
    </w:p>
    <w:p>
      <w:pPr>
        <w:pStyle w:val="ListNumber"/>
      </w:pPr>
      <w:r>
        <w:t>Investigate and identify the likely cause.</w:t>
      </w:r>
    </w:p>
    <w:p>
      <w:pPr>
        <w:pStyle w:val="ListNumber"/>
      </w:pPr>
      <w:r>
        <w:t>Recover or restore affected services.</w:t>
      </w:r>
    </w:p>
    <w:p>
      <w:pPr>
        <w:pStyle w:val="ListNumber"/>
      </w:pPr>
      <w:r>
        <w:t>Communicate with affected stakeholders as appropriate.</w:t>
      </w:r>
    </w:p>
    <w:p>
      <w:pPr>
        <w:pStyle w:val="ListNumber"/>
      </w:pPr>
      <w:r>
        <w:t>Document actions and evidence.</w:t>
      </w:r>
    </w:p>
    <w:p>
      <w:pPr>
        <w:pStyle w:val="ListNumber"/>
      </w:pPr>
      <w:r>
        <w:t>Conduct a post-incident review for significant incidents and implement corrective actions.</w:t>
      </w:r>
    </w:p>
    <w:p>
      <w:pPr>
        <w:pStyle w:val="Heading1"/>
      </w:pPr>
      <w:r>
        <w:t>19. Service Priority and Support Targets</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tcPr>
          <w:p>
            <w:r>
              <w:rPr>
                <w:b/>
                <w:sz w:val="18"/>
              </w:rPr>
              <w:t>Priority</w:t>
            </w:r>
          </w:p>
        </w:tc>
        <w:tc>
          <w:tcPr>
            <w:tcW w:type="dxa" w:w="3264"/>
            <w:vAlign w:val="center"/>
          </w:tcPr>
          <w:p>
            <w:r>
              <w:rPr>
                <w:b/>
                <w:sz w:val="18"/>
              </w:rPr>
              <w:t>Typical Example</w:t>
            </w:r>
          </w:p>
        </w:tc>
        <w:tc>
          <w:tcPr>
            <w:tcW w:type="dxa" w:w="3264"/>
            <w:vAlign w:val="center"/>
          </w:tcPr>
          <w:p>
            <w:r>
              <w:rPr>
                <w:b/>
                <w:sz w:val="18"/>
              </w:rPr>
              <w:t>Suggested Initial Response</w:t>
            </w:r>
          </w:p>
        </w:tc>
      </w:tr>
      <w:tr>
        <w:tc>
          <w:tcPr>
            <w:tcW w:type="dxa" w:w="3264"/>
            <w:vAlign w:val="center"/>
          </w:tcPr>
          <w:p>
            <w:r>
              <w:rPr>
                <w:sz w:val="18"/>
              </w:rPr>
              <w:t>P1 — Critical</w:t>
            </w:r>
          </w:p>
        </w:tc>
        <w:tc>
          <w:tcPr>
            <w:tcW w:type="dxa" w:w="3264"/>
            <w:vAlign w:val="center"/>
          </w:tcPr>
          <w:p>
            <w:r>
              <w:rPr>
                <w:sz w:val="18"/>
              </w:rPr>
              <w:t>Portal/Learnata unavailable for most users; major network outage; serious security incident</w:t>
            </w:r>
          </w:p>
        </w:tc>
        <w:tc>
          <w:tcPr>
            <w:tcW w:type="dxa" w:w="3264"/>
            <w:vAlign w:val="center"/>
          </w:tcPr>
          <w:p>
            <w:r>
              <w:rPr>
                <w:sz w:val="18"/>
              </w:rPr>
              <w:t>Immediate / as soon as practicable</w:t>
            </w:r>
          </w:p>
        </w:tc>
      </w:tr>
      <w:tr>
        <w:tc>
          <w:tcPr>
            <w:tcW w:type="dxa" w:w="3264"/>
            <w:vAlign w:val="center"/>
          </w:tcPr>
          <w:p>
            <w:r>
              <w:rPr>
                <w:sz w:val="18"/>
              </w:rPr>
              <w:t>P2 — High</w:t>
            </w:r>
          </w:p>
        </w:tc>
        <w:tc>
          <w:tcPr>
            <w:tcW w:type="dxa" w:w="3264"/>
            <w:vAlign w:val="center"/>
          </w:tcPr>
          <w:p>
            <w:r>
              <w:rPr>
                <w:sz w:val="18"/>
              </w:rPr>
              <w:t>Major department or service significantly affected</w:t>
            </w:r>
          </w:p>
        </w:tc>
        <w:tc>
          <w:tcPr>
            <w:tcW w:type="dxa" w:w="3264"/>
            <w:vAlign w:val="center"/>
          </w:tcPr>
          <w:p>
            <w:r>
              <w:rPr>
                <w:sz w:val="18"/>
              </w:rPr>
              <w:t>Within 1–4 business hours</w:t>
            </w:r>
          </w:p>
        </w:tc>
      </w:tr>
      <w:tr>
        <w:tc>
          <w:tcPr>
            <w:tcW w:type="dxa" w:w="3264"/>
            <w:vAlign w:val="center"/>
          </w:tcPr>
          <w:p>
            <w:r>
              <w:rPr>
                <w:sz w:val="18"/>
              </w:rPr>
              <w:t>P3 — Medium</w:t>
            </w:r>
          </w:p>
        </w:tc>
        <w:tc>
          <w:tcPr>
            <w:tcW w:type="dxa" w:w="3264"/>
            <w:vAlign w:val="center"/>
          </w:tcPr>
          <w:p>
            <w:r>
              <w:rPr>
                <w:sz w:val="18"/>
              </w:rPr>
              <w:t>Individual user cannot access an ordinary service</w:t>
            </w:r>
          </w:p>
        </w:tc>
        <w:tc>
          <w:tcPr>
            <w:tcW w:type="dxa" w:w="3264"/>
            <w:vAlign w:val="center"/>
          </w:tcPr>
          <w:p>
            <w:r>
              <w:rPr>
                <w:sz w:val="18"/>
              </w:rPr>
              <w:t>Same or next business day</w:t>
            </w:r>
          </w:p>
        </w:tc>
      </w:tr>
      <w:tr>
        <w:tc>
          <w:tcPr>
            <w:tcW w:type="dxa" w:w="3264"/>
            <w:vAlign w:val="center"/>
          </w:tcPr>
          <w:p>
            <w:r>
              <w:rPr>
                <w:sz w:val="18"/>
              </w:rPr>
              <w:t>P4 — Low</w:t>
            </w:r>
          </w:p>
        </w:tc>
        <w:tc>
          <w:tcPr>
            <w:tcW w:type="dxa" w:w="3264"/>
            <w:vAlign w:val="center"/>
          </w:tcPr>
          <w:p>
            <w:r>
              <w:rPr>
                <w:sz w:val="18"/>
              </w:rPr>
              <w:t>General request, information, or non-urgent change</w:t>
            </w:r>
          </w:p>
        </w:tc>
        <w:tc>
          <w:tcPr>
            <w:tcW w:type="dxa" w:w="3264"/>
            <w:vAlign w:val="center"/>
          </w:tcPr>
          <w:p>
            <w:r>
              <w:rPr>
                <w:sz w:val="18"/>
              </w:rPr>
              <w:t>Within 1–3 business days</w:t>
            </w:r>
          </w:p>
        </w:tc>
      </w:tr>
    </w:tbl>
    <w:p>
      <w:r>
        <w:t>These targets are service-management objectives rather than guaranteed resolution times. Actual resolution depends on incident complexity, vendor dependencies, infrastructure conditions, and available resources.</w:t>
      </w:r>
    </w:p>
    <w:p>
      <w:pPr>
        <w:pStyle w:val="Heading1"/>
      </w:pPr>
      <w:r>
        <w:t>20. Service Outage Communication Procedure</w:t>
      </w:r>
    </w:p>
    <w:p>
      <w:pPr>
        <w:pStyle w:val="ListNumber"/>
      </w:pPr>
      <w:r>
        <w:t>Confirm the service issue and identify the affected service.</w:t>
      </w:r>
    </w:p>
    <w:p>
      <w:pPr>
        <w:pStyle w:val="ListNumber"/>
      </w:pPr>
      <w:r>
        <w:t>Classify the outage and determine whether it is planned or unplanned.</w:t>
      </w:r>
    </w:p>
    <w:p>
      <w:pPr>
        <w:pStyle w:val="ListNumber"/>
      </w:pPr>
      <w:r>
        <w:t>Open an IT incident record and assign responsibility.</w:t>
      </w:r>
    </w:p>
    <w:p>
      <w:pPr>
        <w:pStyle w:val="ListNumber"/>
      </w:pPr>
      <w:r>
        <w:t>Notify affected users when the outage is significant.</w:t>
      </w:r>
    </w:p>
    <w:p>
      <w:pPr>
        <w:pStyle w:val="ListNumber"/>
      </w:pPr>
      <w:r>
        <w:t>Provide a concise message explaining the service affected, current status, and that IT is working on restoration.</w:t>
      </w:r>
    </w:p>
    <w:p>
      <w:pPr>
        <w:pStyle w:val="ListNumber"/>
      </w:pPr>
      <w:r>
        <w:t>Avoid publishing sensitive technical details that could increase security risk.</w:t>
      </w:r>
    </w:p>
    <w:p>
      <w:pPr>
        <w:pStyle w:val="ListNumber"/>
      </w:pPr>
      <w:r>
        <w:t>Provide periodic updates for prolonged critical outages where practical.</w:t>
      </w:r>
    </w:p>
    <w:p>
      <w:pPr>
        <w:pStyle w:val="ListNumber"/>
      </w:pPr>
      <w:r>
        <w:t>Publish a service-restored announcement after successful verification.</w:t>
      </w:r>
    </w:p>
    <w:p>
      <w:pPr>
        <w:pStyle w:val="ListNumber"/>
      </w:pPr>
      <w:r>
        <w:t>Record the incident and lessons learned for major outages.</w:t>
      </w:r>
    </w:p>
    <w:p>
      <w:r>
        <w:t>Recommended user-facing wording for a major outage:</w:t>
      </w:r>
    </w:p>
    <w:p>
      <w:pPr>
        <w:pStyle w:val="IntenseQuote"/>
      </w:pPr>
      <w:r>
        <w:t>Important Announcement: KTI's Portal/Learnata service is temporarily unavailable due to a technical issue. Our IT team is working to restore the service as soon as possible. We apologize for the inconvenience and thank students and staff for their patience and understanding. A further announcement will be issued once the service is restored.</w:t>
      </w:r>
    </w:p>
    <w:p>
      <w:pPr>
        <w:pStyle w:val="Heading1"/>
      </w:pPr>
      <w:r>
        <w:t>21. Remote Access</w:t>
      </w:r>
    </w:p>
    <w:p>
      <w:pPr>
        <w:pStyle w:val="ListBullet"/>
        <w:ind w:left="0"/>
      </w:pPr>
      <w:r>
        <w:t>Remote access to internal systems must use KTI-approved methods.</w:t>
      </w:r>
    </w:p>
    <w:p>
      <w:pPr>
        <w:pStyle w:val="ListBullet"/>
        <w:ind w:left="0"/>
      </w:pPr>
      <w:r>
        <w:t>Users must not circumvent VPN, MFA, firewall, or other security controls.</w:t>
      </w:r>
    </w:p>
    <w:p>
      <w:pPr>
        <w:pStyle w:val="ListBullet"/>
        <w:ind w:left="0"/>
      </w:pPr>
      <w:r>
        <w:t>Privileged remote administration should be restricted to authorized IT personnel.</w:t>
      </w:r>
    </w:p>
    <w:p>
      <w:pPr>
        <w:pStyle w:val="ListBullet"/>
        <w:ind w:left="0"/>
      </w:pPr>
      <w:r>
        <w:t>Remote sessions should be terminated when no longer required.</w:t>
      </w:r>
    </w:p>
    <w:p>
      <w:pPr>
        <w:pStyle w:val="ListBullet"/>
        <w:ind w:left="0"/>
      </w:pPr>
      <w:r>
        <w:t>Personal devices accessing sensitive services should use appropriate security protections.</w:t>
      </w:r>
    </w:p>
    <w:p>
      <w:pPr>
        <w:pStyle w:val="Heading1"/>
      </w:pPr>
      <w:r>
        <w:t>22. Monitoring, Logging and Audit</w:t>
      </w:r>
    </w:p>
    <w:p>
      <w:pPr>
        <w:pStyle w:val="ListBullet"/>
        <w:ind w:left="0"/>
      </w:pPr>
      <w:r>
        <w:t>KTI may maintain technical logs necessary for security, troubleshooting, capacity management, service improvement, and incident investigation.</w:t>
      </w:r>
    </w:p>
    <w:p>
      <w:pPr>
        <w:pStyle w:val="ListBullet"/>
        <w:ind w:left="0"/>
      </w:pPr>
      <w:r>
        <w:t>Access to logs should be restricted to authorized personnel.</w:t>
      </w:r>
    </w:p>
    <w:p>
      <w:pPr>
        <w:pStyle w:val="ListBullet"/>
        <w:ind w:left="0"/>
      </w:pPr>
      <w:r>
        <w:t>Logs should be retained for an appropriate period based on operational and security requirements.</w:t>
      </w:r>
    </w:p>
    <w:p>
      <w:pPr>
        <w:pStyle w:val="ListBullet"/>
        <w:ind w:left="0"/>
      </w:pPr>
      <w:r>
        <w:t>Security investigations should be documented appropriately.</w:t>
      </w:r>
    </w:p>
    <w:p>
      <w:pPr>
        <w:pStyle w:val="ListBullet"/>
        <w:ind w:left="0"/>
      </w:pPr>
      <w:r>
        <w:t>Monitoring should be conducted consistently with applicable institutional policies and legal requirements.</w:t>
      </w:r>
    </w:p>
    <w:p>
      <w:pPr>
        <w:pStyle w:val="Heading1"/>
      </w:pPr>
      <w:r>
        <w:t>23. Third-Party Services and Vendors</w:t>
      </w:r>
    </w:p>
    <w:p>
      <w:pPr>
        <w:pStyle w:val="ListBullet"/>
        <w:ind w:left="0"/>
      </w:pPr>
      <w:r>
        <w:t>Third-party IT services should be reviewed and approved through appropriate institutional processes.</w:t>
      </w:r>
    </w:p>
    <w:p>
      <w:pPr>
        <w:pStyle w:val="ListBullet"/>
        <w:ind w:left="0"/>
      </w:pPr>
      <w:r>
        <w:t>Vendors requiring access to KTI systems should receive only the access necessary to perform authorized work.</w:t>
      </w:r>
    </w:p>
    <w:p>
      <w:pPr>
        <w:pStyle w:val="ListBullet"/>
        <w:ind w:left="0"/>
      </w:pPr>
      <w:r>
        <w:t>Vendor accounts should be disabled when access is no longer required.</w:t>
      </w:r>
    </w:p>
    <w:p>
      <w:pPr>
        <w:pStyle w:val="ListBullet"/>
        <w:ind w:left="0"/>
      </w:pPr>
      <w:r>
        <w:t>Contracts involving sensitive institutional data should include appropriate security and confidentiality requirements where applicable.</w:t>
      </w:r>
    </w:p>
    <w:p>
      <w:pPr>
        <w:pStyle w:val="ListBullet"/>
        <w:ind w:left="0"/>
      </w:pPr>
      <w:r>
        <w:t>Critical vendor dependencies should be documented where practical.</w:t>
      </w:r>
    </w:p>
    <w:p>
      <w:pPr>
        <w:pStyle w:val="Heading1"/>
      </w:pPr>
      <w:r>
        <w:t>24. Business Continuity and Disaster Recovery</w:t>
      </w:r>
    </w:p>
    <w:p>
      <w:pPr>
        <w:pStyle w:val="ListBullet"/>
        <w:ind w:left="0"/>
      </w:pPr>
      <w:r>
        <w:t>KTI should identify critical technology services and define recovery priorities.</w:t>
      </w:r>
    </w:p>
    <w:p>
      <w:pPr>
        <w:pStyle w:val="ListBullet"/>
        <w:ind w:left="0"/>
      </w:pPr>
      <w:r>
        <w:t>Critical services should have documented recovery procedures.</w:t>
      </w:r>
    </w:p>
    <w:p>
      <w:pPr>
        <w:pStyle w:val="ListBullet"/>
        <w:ind w:left="0"/>
      </w:pPr>
      <w:r>
        <w:t>Backup systems should be tested periodically.</w:t>
      </w:r>
    </w:p>
    <w:p>
      <w:pPr>
        <w:pStyle w:val="ListBullet"/>
        <w:ind w:left="0"/>
      </w:pPr>
      <w:r>
        <w:t>The IT Department should maintain emergency contact and escalation information.</w:t>
      </w:r>
    </w:p>
    <w:p>
      <w:pPr>
        <w:pStyle w:val="ListBullet"/>
        <w:ind w:left="0"/>
      </w:pPr>
      <w:r>
        <w:t>Major incidents should include communication procedures for management and affected users.</w:t>
      </w:r>
    </w:p>
    <w:p>
      <w:pPr>
        <w:pStyle w:val="ListBullet"/>
        <w:ind w:left="0"/>
      </w:pPr>
      <w:r>
        <w:t>Recovery priorities should consider teaching, examinations, student records, administration, and other essential institutional operations.</w:t>
      </w:r>
    </w:p>
    <w:p>
      <w:pPr>
        <w:pStyle w:val="Heading2"/>
      </w:pPr>
      <w:r>
        <w:t>24.1 Suggested Critical Services</w:t>
      </w:r>
    </w:p>
    <w:p>
      <w:pPr>
        <w:pStyle w:val="ListBullet"/>
        <w:ind w:left="0"/>
      </w:pPr>
      <w:r>
        <w:t>Internet and core network services</w:t>
      </w:r>
    </w:p>
    <w:p>
      <w:pPr>
        <w:pStyle w:val="ListBullet"/>
        <w:ind w:left="0"/>
      </w:pPr>
      <w:r>
        <w:t>Institutional portal</w:t>
      </w:r>
    </w:p>
    <w:p>
      <w:pPr>
        <w:pStyle w:val="ListBullet"/>
        <w:ind w:left="0"/>
      </w:pPr>
      <w:r>
        <w:t>Learnata/LMS</w:t>
      </w:r>
    </w:p>
    <w:p>
      <w:pPr>
        <w:pStyle w:val="ListBullet"/>
        <w:ind w:left="0"/>
      </w:pPr>
      <w:r>
        <w:t>Institutional email</w:t>
      </w:r>
    </w:p>
    <w:p>
      <w:pPr>
        <w:pStyle w:val="ListBullet"/>
        <w:ind w:left="0"/>
      </w:pPr>
      <w:r>
        <w:t>Student and academic information systems</w:t>
      </w:r>
    </w:p>
    <w:p>
      <w:pPr>
        <w:pStyle w:val="ListBullet"/>
        <w:ind w:left="0"/>
      </w:pPr>
      <w:r>
        <w:t>Authentication and identity services</w:t>
      </w:r>
    </w:p>
    <w:p>
      <w:pPr>
        <w:pStyle w:val="ListBullet"/>
        <w:ind w:left="0"/>
      </w:pPr>
      <w:r>
        <w:t>Core databases and file storage</w:t>
      </w:r>
    </w:p>
    <w:p>
      <w:pPr>
        <w:pStyle w:val="Heading1"/>
      </w:pPr>
      <w:r>
        <w:t>25. User Awareness and Training</w:t>
      </w:r>
    </w:p>
    <w:p>
      <w:pPr>
        <w:pStyle w:val="ListBullet"/>
        <w:ind w:left="0"/>
      </w:pPr>
      <w:r>
        <w:t>New staff should receive basic IT security and acceptable-use guidance.</w:t>
      </w:r>
    </w:p>
    <w:p>
      <w:pPr>
        <w:pStyle w:val="ListBullet"/>
        <w:ind w:left="0"/>
      </w:pPr>
      <w:r>
        <w:t>Students should receive guidance on account security and safe use of institutional digital services.</w:t>
      </w:r>
    </w:p>
    <w:p>
      <w:pPr>
        <w:pStyle w:val="ListBullet"/>
        <w:ind w:left="0"/>
      </w:pPr>
      <w:r>
        <w:t>Periodic awareness activities should cover phishing, passwords, malware, privacy, and incident reporting.</w:t>
      </w:r>
    </w:p>
    <w:p>
      <w:pPr>
        <w:pStyle w:val="ListBullet"/>
        <w:ind w:left="0"/>
      </w:pPr>
      <w:r>
        <w:t>IT should publish important service instructions and security notices through approved channels.</w:t>
      </w:r>
    </w:p>
    <w:p>
      <w:pPr>
        <w:pStyle w:val="Heading1"/>
      </w:pPr>
      <w:r>
        <w:t>26. Academic and Digital Content</w:t>
      </w:r>
    </w:p>
    <w:p>
      <w:pPr>
        <w:pStyle w:val="ListBullet"/>
        <w:ind w:left="0"/>
      </w:pPr>
      <w:r>
        <w:t>Users must respect copyright, licensing, academic integrity, and institutional rules when uploading or distributing digital content.</w:t>
      </w:r>
    </w:p>
    <w:p>
      <w:pPr>
        <w:pStyle w:val="ListBullet"/>
        <w:ind w:left="0"/>
      </w:pPr>
      <w:r>
        <w:t>Teaching staff are responsible for ensuring that course materials placed on institutional platforms are appropriate and authorized.</w:t>
      </w:r>
    </w:p>
    <w:p>
      <w:pPr>
        <w:pStyle w:val="ListBullet"/>
        <w:ind w:left="0"/>
      </w:pPr>
      <w:r>
        <w:t>Students must not redistribute restricted course materials without permission.</w:t>
      </w:r>
    </w:p>
    <w:p>
      <w:pPr>
        <w:pStyle w:val="ListBullet"/>
        <w:ind w:left="0"/>
      </w:pPr>
      <w:r>
        <w:t>Digital assessment content must be protected from unauthorized disclosure.</w:t>
      </w:r>
    </w:p>
    <w:p>
      <w:pPr>
        <w:pStyle w:val="Heading1"/>
      </w:pPr>
      <w:r>
        <w:t>27. Offboarding and Account Termination</w:t>
      </w:r>
    </w:p>
    <w:p>
      <w:pPr>
        <w:pStyle w:val="ListNumber"/>
      </w:pPr>
      <w:r>
        <w:t>HR/administration or the responsible academic office notifies IT of a user's status change.</w:t>
      </w:r>
    </w:p>
    <w:p>
      <w:pPr>
        <w:pStyle w:val="ListNumber"/>
      </w:pPr>
      <w:r>
        <w:t>IT identifies institutional accounts, systems, groups, devices, and access rights.</w:t>
      </w:r>
    </w:p>
    <w:p>
      <w:pPr>
        <w:pStyle w:val="ListNumber"/>
      </w:pPr>
      <w:r>
        <w:t>Access is disabled or adjusted according to the approved termination procedure.</w:t>
      </w:r>
    </w:p>
    <w:p>
      <w:pPr>
        <w:pStyle w:val="ListNumber"/>
      </w:pPr>
      <w:r>
        <w:t>Institutional equipment is returned and recorded.</w:t>
      </w:r>
    </w:p>
    <w:p>
      <w:pPr>
        <w:pStyle w:val="ListNumber"/>
      </w:pPr>
      <w:r>
        <w:t>Authorized institutional data is transferred or retained as required.</w:t>
      </w:r>
    </w:p>
    <w:p>
      <w:pPr>
        <w:pStyle w:val="ListNumber"/>
      </w:pPr>
      <w:r>
        <w:t>Shared passwords or secrets known by departing personnel are changed where necessary.</w:t>
      </w:r>
    </w:p>
    <w:p>
      <w:pPr>
        <w:pStyle w:val="ListNumber"/>
      </w:pPr>
      <w:r>
        <w:t>Records are retained or deleted according to institutional requirements.</w:t>
      </w:r>
    </w:p>
    <w:p>
      <w:pPr>
        <w:pStyle w:val="Heading1"/>
      </w:pPr>
      <w:r>
        <w:t>28. Policy Violations</w:t>
      </w:r>
    </w:p>
    <w:p>
      <w:r>
        <w:t>Suspected violations may be investigated by authorized KTI personnel. Depending on the nature and seriousness of the violation, KTI may apply appropriate administrative, academic, employment, technical, or disciplinary procedures consistent with its existing policies and applicable law.</w:t>
      </w:r>
    </w:p>
    <w:p>
      <w:pPr>
        <w:pStyle w:val="ListBullet"/>
        <w:ind w:left="0"/>
      </w:pPr>
      <w:r>
        <w:t>Minor misuse may result in guidance, warning, or restriction of access.</w:t>
      </w:r>
    </w:p>
    <w:p>
      <w:pPr>
        <w:pStyle w:val="ListBullet"/>
        <w:ind w:left="0"/>
      </w:pPr>
      <w:r>
        <w:t>Serious or repeated misuse may result in disciplinary action under applicable KTI procedures.</w:t>
      </w:r>
    </w:p>
    <w:p>
      <w:pPr>
        <w:pStyle w:val="ListBullet"/>
        <w:ind w:left="0"/>
      </w:pPr>
      <w:r>
        <w:t>Illegal activity may be referred to the appropriate authorities where required.</w:t>
      </w:r>
    </w:p>
    <w:p>
      <w:pPr>
        <w:pStyle w:val="ListBullet"/>
        <w:ind w:left="0"/>
      </w:pPr>
      <w:r>
        <w:t>Technical access may be suspended when necessary to protect systems, data, or other users.</w:t>
      </w:r>
    </w:p>
    <w:p>
      <w:pPr>
        <w:pStyle w:val="Heading1"/>
      </w:pPr>
      <w:r>
        <w:t>29. Exceptions</w:t>
      </w:r>
    </w:p>
    <w:p>
      <w:r>
        <w:t>Exceptions to this policy must be documented and approved by the appropriate KTI authority. Exceptions should identify the reason, affected system, duration, risks, compensating controls, and approving authority.</w:t>
      </w:r>
    </w:p>
    <w:p>
      <w:pPr>
        <w:pStyle w:val="Heading1"/>
      </w:pPr>
      <w:r>
        <w:t>30. Policy Review and Revision</w:t>
      </w:r>
    </w:p>
    <w:p>
      <w:pPr>
        <w:pStyle w:val="ListBullet"/>
        <w:ind w:left="0"/>
      </w:pPr>
      <w:r>
        <w:t>This policy should be reviewed at least annually.</w:t>
      </w:r>
    </w:p>
    <w:p>
      <w:pPr>
        <w:pStyle w:val="ListBullet"/>
        <w:ind w:left="0"/>
      </w:pPr>
      <w:r>
        <w:t>A review should also occur after major cybersecurity incidents, significant technology changes, major regulatory changes, or substantial changes to KTI operations.</w:t>
      </w:r>
    </w:p>
    <w:p>
      <w:pPr>
        <w:pStyle w:val="ListBullet"/>
        <w:ind w:left="0"/>
      </w:pPr>
      <w:r>
        <w:t>Revisions should be version-controlled and approved through KTI's established policy governance process.</w:t>
      </w:r>
    </w:p>
    <w:p>
      <w:pPr>
        <w:pStyle w:val="ListBullet"/>
        <w:ind w:left="0"/>
      </w:pPr>
      <w:r>
        <w:t>Superseded versions should be retained according to institutional document-control requirements.</w:t>
      </w:r>
    </w:p>
    <w:p>
      <w:pPr>
        <w:pStyle w:val="Heading1"/>
      </w:pPr>
      <w:r>
        <w:t>31. Implementation Checklist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r>
              <w:rPr>
                <w:b/>
                <w:sz w:val="18"/>
              </w:rPr>
              <w:t>Control Area</w:t>
            </w:r>
          </w:p>
        </w:tc>
        <w:tc>
          <w:tcPr>
            <w:tcW w:type="dxa" w:w="2448"/>
            <w:vAlign w:val="center"/>
          </w:tcPr>
          <w:p>
            <w:r>
              <w:rPr>
                <w:b/>
                <w:sz w:val="18"/>
              </w:rPr>
              <w:t>Initial Action</w:t>
            </w:r>
          </w:p>
        </w:tc>
        <w:tc>
          <w:tcPr>
            <w:tcW w:type="dxa" w:w="2448"/>
            <w:vAlign w:val="center"/>
          </w:tcPr>
          <w:p>
            <w:r>
              <w:rPr>
                <w:b/>
                <w:sz w:val="18"/>
              </w:rPr>
              <w:t>Owner</w:t>
            </w:r>
          </w:p>
        </w:tc>
        <w:tc>
          <w:tcPr>
            <w:tcW w:type="dxa" w:w="2448"/>
            <w:vAlign w:val="center"/>
          </w:tcPr>
          <w:p>
            <w:r>
              <w:rPr>
                <w:b/>
                <w:sz w:val="18"/>
              </w:rPr>
              <w:t>Status</w:t>
            </w:r>
          </w:p>
        </w:tc>
      </w:tr>
      <w:tr>
        <w:tc>
          <w:tcPr>
            <w:tcW w:type="dxa" w:w="2448"/>
            <w:vAlign w:val="center"/>
          </w:tcPr>
          <w:p>
            <w:r>
              <w:rPr>
                <w:sz w:val="18"/>
              </w:rPr>
              <w:t>User accounts</w:t>
            </w:r>
          </w:p>
        </w:tc>
        <w:tc>
          <w:tcPr>
            <w:tcW w:type="dxa" w:w="2448"/>
            <w:vAlign w:val="center"/>
          </w:tcPr>
          <w:p>
            <w:r>
              <w:rPr>
                <w:sz w:val="18"/>
              </w:rPr>
              <w:t>Review active/inactive accounts and role-based access</w:t>
            </w:r>
          </w:p>
        </w:tc>
        <w:tc>
          <w:tcPr>
            <w:tcW w:type="dxa" w:w="2448"/>
            <w:vAlign w:val="center"/>
          </w:tcPr>
          <w:p>
            <w:r>
              <w:rPr>
                <w:sz w:val="18"/>
              </w:rPr>
              <w:t>IT</w:t>
            </w:r>
          </w:p>
        </w:tc>
        <w:tc>
          <w:tcPr>
            <w:tcW w:type="dxa" w:w="2448"/>
            <w:vAlign w:val="center"/>
          </w:tcPr>
          <w:p>
            <w:r>
              <w:rPr>
                <w:sz w:val="18"/>
              </w:rPr>
              <w:t>☐</w:t>
            </w:r>
          </w:p>
        </w:tc>
      </w:tr>
      <w:tr>
        <w:tc>
          <w:tcPr>
            <w:tcW w:type="dxa" w:w="2448"/>
            <w:vAlign w:val="center"/>
          </w:tcPr>
          <w:p>
            <w:r>
              <w:rPr>
                <w:sz w:val="18"/>
              </w:rPr>
              <w:t>Passwords/MFA</w:t>
            </w:r>
          </w:p>
        </w:tc>
        <w:tc>
          <w:tcPr>
            <w:tcW w:type="dxa" w:w="2448"/>
            <w:vAlign w:val="center"/>
          </w:tcPr>
          <w:p>
            <w:r>
              <w:rPr>
                <w:sz w:val="18"/>
              </w:rPr>
              <w:t>Define minimum password and MFA requirements</w:t>
            </w:r>
          </w:p>
        </w:tc>
        <w:tc>
          <w:tcPr>
            <w:tcW w:type="dxa" w:w="2448"/>
            <w:vAlign w:val="center"/>
          </w:tcPr>
          <w:p>
            <w:r>
              <w:rPr>
                <w:sz w:val="18"/>
              </w:rPr>
              <w:t>IT</w:t>
            </w:r>
          </w:p>
        </w:tc>
        <w:tc>
          <w:tcPr>
            <w:tcW w:type="dxa" w:w="2448"/>
            <w:vAlign w:val="center"/>
          </w:tcPr>
          <w:p>
            <w:r>
              <w:rPr>
                <w:sz w:val="18"/>
              </w:rPr>
              <w:t>☐</w:t>
            </w:r>
          </w:p>
        </w:tc>
      </w:tr>
      <w:tr>
        <w:tc>
          <w:tcPr>
            <w:tcW w:type="dxa" w:w="2448"/>
            <w:vAlign w:val="center"/>
          </w:tcPr>
          <w:p>
            <w:r>
              <w:rPr>
                <w:sz w:val="18"/>
              </w:rPr>
              <w:t>Portal/Learnata</w:t>
            </w:r>
          </w:p>
        </w:tc>
        <w:tc>
          <w:tcPr>
            <w:tcW w:type="dxa" w:w="2448"/>
            <w:vAlign w:val="center"/>
          </w:tcPr>
          <w:p>
            <w:r>
              <w:rPr>
                <w:sz w:val="18"/>
              </w:rPr>
              <w:t>Document administrators, backups, support and outage procedure</w:t>
            </w:r>
          </w:p>
        </w:tc>
        <w:tc>
          <w:tcPr>
            <w:tcW w:type="dxa" w:w="2448"/>
            <w:vAlign w:val="center"/>
          </w:tcPr>
          <w:p>
            <w:r>
              <w:rPr>
                <w:sz w:val="18"/>
              </w:rPr>
              <w:t>IT / Academic</w:t>
            </w:r>
          </w:p>
        </w:tc>
        <w:tc>
          <w:tcPr>
            <w:tcW w:type="dxa" w:w="2448"/>
            <w:vAlign w:val="center"/>
          </w:tcPr>
          <w:p>
            <w:r>
              <w:rPr>
                <w:sz w:val="18"/>
              </w:rPr>
              <w:t>☐</w:t>
            </w:r>
          </w:p>
        </w:tc>
      </w:tr>
      <w:tr>
        <w:tc>
          <w:tcPr>
            <w:tcW w:type="dxa" w:w="2448"/>
            <w:vAlign w:val="center"/>
          </w:tcPr>
          <w:p>
            <w:r>
              <w:rPr>
                <w:sz w:val="18"/>
              </w:rPr>
              <w:t>Network</w:t>
            </w:r>
          </w:p>
        </w:tc>
        <w:tc>
          <w:tcPr>
            <w:tcW w:type="dxa" w:w="2448"/>
            <w:vAlign w:val="center"/>
          </w:tcPr>
          <w:p>
            <w:r>
              <w:rPr>
                <w:sz w:val="18"/>
              </w:rPr>
              <w:t>Review Wi-Fi, firewall, segmentation and guest access</w:t>
            </w:r>
          </w:p>
        </w:tc>
        <w:tc>
          <w:tcPr>
            <w:tcW w:type="dxa" w:w="2448"/>
            <w:vAlign w:val="center"/>
          </w:tcPr>
          <w:p>
            <w:r>
              <w:rPr>
                <w:sz w:val="18"/>
              </w:rPr>
              <w:t>IT</w:t>
            </w:r>
          </w:p>
        </w:tc>
        <w:tc>
          <w:tcPr>
            <w:tcW w:type="dxa" w:w="2448"/>
            <w:vAlign w:val="center"/>
          </w:tcPr>
          <w:p>
            <w:r>
              <w:rPr>
                <w:sz w:val="18"/>
              </w:rPr>
              <w:t>☐</w:t>
            </w:r>
          </w:p>
        </w:tc>
      </w:tr>
      <w:tr>
        <w:tc>
          <w:tcPr>
            <w:tcW w:type="dxa" w:w="2448"/>
            <w:vAlign w:val="center"/>
          </w:tcPr>
          <w:p>
            <w:r>
              <w:rPr>
                <w:sz w:val="18"/>
              </w:rPr>
              <w:t>Software</w:t>
            </w:r>
          </w:p>
        </w:tc>
        <w:tc>
          <w:tcPr>
            <w:tcW w:type="dxa" w:w="2448"/>
            <w:vAlign w:val="center"/>
          </w:tcPr>
          <w:p>
            <w:r>
              <w:rPr>
                <w:sz w:val="18"/>
              </w:rPr>
              <w:t>Create approved software list and licensing inventory</w:t>
            </w:r>
          </w:p>
        </w:tc>
        <w:tc>
          <w:tcPr>
            <w:tcW w:type="dxa" w:w="2448"/>
            <w:vAlign w:val="center"/>
          </w:tcPr>
          <w:p>
            <w:r>
              <w:rPr>
                <w:sz w:val="18"/>
              </w:rPr>
              <w:t>IT</w:t>
            </w:r>
          </w:p>
        </w:tc>
        <w:tc>
          <w:tcPr>
            <w:tcW w:type="dxa" w:w="2448"/>
            <w:vAlign w:val="center"/>
          </w:tcPr>
          <w:p>
            <w:r>
              <w:rPr>
                <w:sz w:val="18"/>
              </w:rPr>
              <w:t>☐</w:t>
            </w:r>
          </w:p>
        </w:tc>
      </w:tr>
      <w:tr>
        <w:tc>
          <w:tcPr>
            <w:tcW w:type="dxa" w:w="2448"/>
            <w:vAlign w:val="center"/>
          </w:tcPr>
          <w:p>
            <w:r>
              <w:rPr>
                <w:sz w:val="18"/>
              </w:rPr>
              <w:t>Backups</w:t>
            </w:r>
          </w:p>
        </w:tc>
        <w:tc>
          <w:tcPr>
            <w:tcW w:type="dxa" w:w="2448"/>
            <w:vAlign w:val="center"/>
          </w:tcPr>
          <w:p>
            <w:r>
              <w:rPr>
                <w:sz w:val="18"/>
              </w:rPr>
              <w:t>Document backup schedule and perform recovery test</w:t>
            </w:r>
          </w:p>
        </w:tc>
        <w:tc>
          <w:tcPr>
            <w:tcW w:type="dxa" w:w="2448"/>
            <w:vAlign w:val="center"/>
          </w:tcPr>
          <w:p>
            <w:r>
              <w:rPr>
                <w:sz w:val="18"/>
              </w:rPr>
              <w:t>IT</w:t>
            </w:r>
          </w:p>
        </w:tc>
        <w:tc>
          <w:tcPr>
            <w:tcW w:type="dxa" w:w="2448"/>
            <w:vAlign w:val="center"/>
          </w:tcPr>
          <w:p>
            <w:r>
              <w:rPr>
                <w:sz w:val="18"/>
              </w:rPr>
              <w:t>☐</w:t>
            </w:r>
          </w:p>
        </w:tc>
      </w:tr>
      <w:tr>
        <w:tc>
          <w:tcPr>
            <w:tcW w:type="dxa" w:w="2448"/>
            <w:vAlign w:val="center"/>
          </w:tcPr>
          <w:p>
            <w:r>
              <w:rPr>
                <w:sz w:val="18"/>
              </w:rPr>
              <w:t>Incident response</w:t>
            </w:r>
          </w:p>
        </w:tc>
        <w:tc>
          <w:tcPr>
            <w:tcW w:type="dxa" w:w="2448"/>
            <w:vAlign w:val="center"/>
          </w:tcPr>
          <w:p>
            <w:r>
              <w:rPr>
                <w:sz w:val="18"/>
              </w:rPr>
              <w:t>Create incident contact and escalation list</w:t>
            </w:r>
          </w:p>
        </w:tc>
        <w:tc>
          <w:tcPr>
            <w:tcW w:type="dxa" w:w="2448"/>
            <w:vAlign w:val="center"/>
          </w:tcPr>
          <w:p>
            <w:r>
              <w:rPr>
                <w:sz w:val="18"/>
              </w:rPr>
              <w:t>IT</w:t>
            </w:r>
          </w:p>
        </w:tc>
        <w:tc>
          <w:tcPr>
            <w:tcW w:type="dxa" w:w="2448"/>
            <w:vAlign w:val="center"/>
          </w:tcPr>
          <w:p>
            <w:r>
              <w:rPr>
                <w:sz w:val="18"/>
              </w:rPr>
              <w:t>☐</w:t>
            </w:r>
          </w:p>
        </w:tc>
      </w:tr>
      <w:tr>
        <w:tc>
          <w:tcPr>
            <w:tcW w:type="dxa" w:w="2448"/>
            <w:vAlign w:val="center"/>
          </w:tcPr>
          <w:p>
            <w:r>
              <w:rPr>
                <w:sz w:val="18"/>
              </w:rPr>
              <w:t>Asset management</w:t>
            </w:r>
          </w:p>
        </w:tc>
        <w:tc>
          <w:tcPr>
            <w:tcW w:type="dxa" w:w="2448"/>
            <w:vAlign w:val="center"/>
          </w:tcPr>
          <w:p>
            <w:r>
              <w:rPr>
                <w:sz w:val="18"/>
              </w:rPr>
              <w:t>Maintain hardware/software inventory</w:t>
            </w:r>
          </w:p>
        </w:tc>
        <w:tc>
          <w:tcPr>
            <w:tcW w:type="dxa" w:w="2448"/>
            <w:vAlign w:val="center"/>
          </w:tcPr>
          <w:p>
            <w:r>
              <w:rPr>
                <w:sz w:val="18"/>
              </w:rPr>
              <w:t>IT</w:t>
            </w:r>
          </w:p>
        </w:tc>
        <w:tc>
          <w:tcPr>
            <w:tcW w:type="dxa" w:w="2448"/>
            <w:vAlign w:val="center"/>
          </w:tcPr>
          <w:p>
            <w:r>
              <w:rPr>
                <w:sz w:val="18"/>
              </w:rPr>
              <w:t>☐</w:t>
            </w:r>
          </w:p>
        </w:tc>
      </w:tr>
      <w:tr>
        <w:tc>
          <w:tcPr>
            <w:tcW w:type="dxa" w:w="2448"/>
            <w:vAlign w:val="center"/>
          </w:tcPr>
          <w:p>
            <w:r>
              <w:rPr>
                <w:sz w:val="18"/>
              </w:rPr>
              <w:t>Offboarding</w:t>
            </w:r>
          </w:p>
        </w:tc>
        <w:tc>
          <w:tcPr>
            <w:tcW w:type="dxa" w:w="2448"/>
            <w:vAlign w:val="center"/>
          </w:tcPr>
          <w:p>
            <w:r>
              <w:rPr>
                <w:sz w:val="18"/>
              </w:rPr>
              <w:t>Formalize account termination workflow</w:t>
            </w:r>
          </w:p>
        </w:tc>
        <w:tc>
          <w:tcPr>
            <w:tcW w:type="dxa" w:w="2448"/>
            <w:vAlign w:val="center"/>
          </w:tcPr>
          <w:p>
            <w:r>
              <w:rPr>
                <w:sz w:val="18"/>
              </w:rPr>
              <w:t>HR / IT</w:t>
            </w:r>
          </w:p>
        </w:tc>
        <w:tc>
          <w:tcPr>
            <w:tcW w:type="dxa" w:w="2448"/>
            <w:vAlign w:val="center"/>
          </w:tcPr>
          <w:p>
            <w:r>
              <w:rPr>
                <w:sz w:val="18"/>
              </w:rPr>
              <w:t>☐</w:t>
            </w:r>
          </w:p>
        </w:tc>
      </w:tr>
      <w:tr>
        <w:tc>
          <w:tcPr>
            <w:tcW w:type="dxa" w:w="2448"/>
            <w:vAlign w:val="center"/>
          </w:tcPr>
          <w:p>
            <w:r>
              <w:rPr>
                <w:sz w:val="18"/>
              </w:rPr>
              <w:t>Awareness</w:t>
            </w:r>
          </w:p>
        </w:tc>
        <w:tc>
          <w:tcPr>
            <w:tcW w:type="dxa" w:w="2448"/>
            <w:vAlign w:val="center"/>
          </w:tcPr>
          <w:p>
            <w:r>
              <w:rPr>
                <w:sz w:val="18"/>
              </w:rPr>
              <w:t>Provide annual security awareness training</w:t>
            </w:r>
          </w:p>
        </w:tc>
        <w:tc>
          <w:tcPr>
            <w:tcW w:type="dxa" w:w="2448"/>
            <w:vAlign w:val="center"/>
          </w:tcPr>
          <w:p>
            <w:r>
              <w:rPr>
                <w:sz w:val="18"/>
              </w:rPr>
              <w:t>IT / HR</w:t>
            </w:r>
          </w:p>
        </w:tc>
        <w:tc>
          <w:tcPr>
            <w:tcW w:type="dxa" w:w="2448"/>
            <w:vAlign w:val="center"/>
          </w:tcPr>
          <w:p>
            <w:r>
              <w:rPr>
                <w:sz w:val="18"/>
              </w:rPr>
              <w:t>☐</w:t>
            </w:r>
          </w:p>
        </w:tc>
      </w:tr>
      <w:tr>
        <w:tc>
          <w:tcPr>
            <w:tcW w:type="dxa" w:w="2448"/>
            <w:vAlign w:val="center"/>
          </w:tcPr>
          <w:p>
            <w:r>
              <w:rPr>
                <w:sz w:val="18"/>
              </w:rPr>
              <w:t>Policy review</w:t>
            </w:r>
          </w:p>
        </w:tc>
        <w:tc>
          <w:tcPr>
            <w:tcW w:type="dxa" w:w="2448"/>
            <w:vAlign w:val="center"/>
          </w:tcPr>
          <w:p>
            <w:r>
              <w:rPr>
                <w:sz w:val="18"/>
              </w:rPr>
              <w:t>Schedule annual review</w:t>
            </w:r>
          </w:p>
        </w:tc>
        <w:tc>
          <w:tcPr>
            <w:tcW w:type="dxa" w:w="2448"/>
            <w:vAlign w:val="center"/>
          </w:tcPr>
          <w:p>
            <w:r>
              <w:rPr>
                <w:sz w:val="18"/>
              </w:rPr>
              <w:t>Policy Owner</w:t>
            </w:r>
          </w:p>
        </w:tc>
        <w:tc>
          <w:tcPr>
            <w:tcW w:type="dxa" w:w="2448"/>
            <w:vAlign w:val="center"/>
          </w:tcPr>
          <w:p>
            <w:r>
              <w:rPr>
                <w:sz w:val="18"/>
              </w:rPr>
              <w:t>☐</w:t>
            </w:r>
          </w:p>
        </w:tc>
      </w:tr>
    </w:tbl>
    <w:p>
      <w:pPr>
        <w:pStyle w:val="Heading1"/>
      </w:pPr>
      <w:r>
        <w:t>32. Approval and Document Control</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r>
              <w:rPr>
                <w:b/>
                <w:sz w:val="18"/>
              </w:rPr>
              <w:t>Role</w:t>
            </w:r>
          </w:p>
        </w:tc>
        <w:tc>
          <w:tcPr>
            <w:tcW w:type="dxa" w:w="2448"/>
            <w:vAlign w:val="center"/>
          </w:tcPr>
          <w:p>
            <w:r>
              <w:rPr>
                <w:b/>
                <w:sz w:val="18"/>
              </w:rPr>
              <w:t>Name</w:t>
            </w:r>
          </w:p>
        </w:tc>
        <w:tc>
          <w:tcPr>
            <w:tcW w:type="dxa" w:w="2448"/>
            <w:vAlign w:val="center"/>
          </w:tcPr>
          <w:p>
            <w:r>
              <w:rPr>
                <w:b/>
                <w:sz w:val="18"/>
              </w:rPr>
              <w:t>Signature</w:t>
            </w:r>
          </w:p>
        </w:tc>
        <w:tc>
          <w:tcPr>
            <w:tcW w:type="dxa" w:w="2448"/>
            <w:vAlign w:val="center"/>
          </w:tcPr>
          <w:p>
            <w:r>
              <w:rPr>
                <w:b/>
                <w:sz w:val="18"/>
              </w:rPr>
              <w:t>Date</w:t>
            </w:r>
          </w:p>
        </w:tc>
      </w:tr>
      <w:tr>
        <w:tc>
          <w:tcPr>
            <w:tcW w:type="dxa" w:w="2448"/>
            <w:vAlign w:val="center"/>
          </w:tcPr>
          <w:p>
            <w:r>
              <w:rPr>
                <w:sz w:val="18"/>
              </w:rPr>
              <w:t>Prepared by — IT Department</w:t>
            </w:r>
          </w:p>
        </w:tc>
        <w:tc>
          <w:tcPr>
            <w:tcW w:type="dxa" w:w="2448"/>
            <w:vAlign w:val="center"/>
          </w:tcPr>
          <w:p>
            <w:r>
              <w:rPr>
                <w:sz w:val="18"/>
              </w:rPr>
            </w:r>
          </w:p>
        </w:tc>
        <w:tc>
          <w:tcPr>
            <w:tcW w:type="dxa" w:w="2448"/>
            <w:vAlign w:val="center"/>
          </w:tcPr>
          <w:p>
            <w:r>
              <w:rPr>
                <w:sz w:val="18"/>
              </w:rPr>
            </w:r>
          </w:p>
        </w:tc>
        <w:tc>
          <w:tcPr>
            <w:tcW w:type="dxa" w:w="2448"/>
            <w:vAlign w:val="center"/>
          </w:tcPr>
          <w:p>
            <w:r>
              <w:rPr>
                <w:sz w:val="18"/>
              </w:rPr>
            </w:r>
          </w:p>
        </w:tc>
      </w:tr>
      <w:tr>
        <w:tc>
          <w:tcPr>
            <w:tcW w:type="dxa" w:w="2448"/>
            <w:vAlign w:val="center"/>
          </w:tcPr>
          <w:p>
            <w:r>
              <w:rPr>
                <w:sz w:val="18"/>
              </w:rPr>
              <w:t>Reviewed by — Quality Assurance</w:t>
            </w:r>
          </w:p>
        </w:tc>
        <w:tc>
          <w:tcPr>
            <w:tcW w:type="dxa" w:w="2448"/>
            <w:vAlign w:val="center"/>
          </w:tcPr>
          <w:p>
            <w:r>
              <w:rPr>
                <w:sz w:val="18"/>
              </w:rPr>
            </w:r>
          </w:p>
        </w:tc>
        <w:tc>
          <w:tcPr>
            <w:tcW w:type="dxa" w:w="2448"/>
            <w:vAlign w:val="center"/>
          </w:tcPr>
          <w:p>
            <w:r>
              <w:rPr>
                <w:sz w:val="18"/>
              </w:rPr>
            </w:r>
          </w:p>
        </w:tc>
        <w:tc>
          <w:tcPr>
            <w:tcW w:type="dxa" w:w="2448"/>
            <w:vAlign w:val="center"/>
          </w:tcPr>
          <w:p>
            <w:r>
              <w:rPr>
                <w:sz w:val="18"/>
              </w:rPr>
            </w:r>
          </w:p>
        </w:tc>
      </w:tr>
      <w:tr>
        <w:tc>
          <w:tcPr>
            <w:tcW w:type="dxa" w:w="2448"/>
            <w:vAlign w:val="center"/>
          </w:tcPr>
          <w:p>
            <w:r>
              <w:rPr>
                <w:sz w:val="18"/>
              </w:rPr>
              <w:t>Reviewed by — Administration/Management</w:t>
            </w:r>
          </w:p>
        </w:tc>
        <w:tc>
          <w:tcPr>
            <w:tcW w:type="dxa" w:w="2448"/>
            <w:vAlign w:val="center"/>
          </w:tcPr>
          <w:p>
            <w:r>
              <w:rPr>
                <w:sz w:val="18"/>
              </w:rPr>
            </w:r>
          </w:p>
        </w:tc>
        <w:tc>
          <w:tcPr>
            <w:tcW w:type="dxa" w:w="2448"/>
            <w:vAlign w:val="center"/>
          </w:tcPr>
          <w:p>
            <w:r>
              <w:rPr>
                <w:sz w:val="18"/>
              </w:rPr>
            </w:r>
          </w:p>
        </w:tc>
        <w:tc>
          <w:tcPr>
            <w:tcW w:type="dxa" w:w="2448"/>
            <w:vAlign w:val="center"/>
          </w:tcPr>
          <w:p>
            <w:r>
              <w:rPr>
                <w:sz w:val="18"/>
              </w:rPr>
            </w:r>
          </w:p>
        </w:tc>
      </w:tr>
      <w:tr>
        <w:tc>
          <w:tcPr>
            <w:tcW w:type="dxa" w:w="2448"/>
            <w:vAlign w:val="center"/>
          </w:tcPr>
          <w:p>
            <w:r>
              <w:rPr>
                <w:sz w:val="18"/>
              </w:rPr>
              <w:t>Approved by — Authorized KTI Authority</w:t>
            </w:r>
          </w:p>
        </w:tc>
        <w:tc>
          <w:tcPr>
            <w:tcW w:type="dxa" w:w="2448"/>
            <w:vAlign w:val="center"/>
          </w:tcPr>
          <w:p>
            <w:r>
              <w:rPr>
                <w:sz w:val="18"/>
              </w:rPr>
            </w:r>
          </w:p>
        </w:tc>
        <w:tc>
          <w:tcPr>
            <w:tcW w:type="dxa" w:w="2448"/>
            <w:vAlign w:val="center"/>
          </w:tcPr>
          <w:p>
            <w:r>
              <w:rPr>
                <w:sz w:val="18"/>
              </w:rPr>
            </w:r>
          </w:p>
        </w:tc>
        <w:tc>
          <w:tcPr>
            <w:tcW w:type="dxa" w:w="2448"/>
            <w:vAlign w:val="center"/>
          </w:tcPr>
          <w:p>
            <w:r>
              <w:rPr>
                <w:sz w:val="18"/>
              </w:rPr>
            </w:r>
          </w:p>
        </w:tc>
      </w:tr>
    </w:tbl>
    <w:p/>
    <w:p>
      <w:r>
        <w:t>Document revision history:</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r>
              <w:rPr>
                <w:b/>
                <w:sz w:val="18"/>
              </w:rPr>
              <w:t>Version</w:t>
            </w:r>
          </w:p>
        </w:tc>
        <w:tc>
          <w:tcPr>
            <w:tcW w:type="dxa" w:w="2448"/>
            <w:vAlign w:val="center"/>
          </w:tcPr>
          <w:p>
            <w:r>
              <w:rPr>
                <w:b/>
                <w:sz w:val="18"/>
              </w:rPr>
              <w:t>Date</w:t>
            </w:r>
          </w:p>
        </w:tc>
        <w:tc>
          <w:tcPr>
            <w:tcW w:type="dxa" w:w="2448"/>
            <w:vAlign w:val="center"/>
          </w:tcPr>
          <w:p>
            <w:r>
              <w:rPr>
                <w:b/>
                <w:sz w:val="18"/>
              </w:rPr>
              <w:t>Description</w:t>
            </w:r>
          </w:p>
        </w:tc>
        <w:tc>
          <w:tcPr>
            <w:tcW w:type="dxa" w:w="2448"/>
            <w:vAlign w:val="center"/>
          </w:tcPr>
          <w:p>
            <w:r>
              <w:rPr>
                <w:b/>
                <w:sz w:val="18"/>
              </w:rPr>
              <w:t>Approved By</w:t>
            </w:r>
          </w:p>
        </w:tc>
      </w:tr>
      <w:tr>
        <w:tc>
          <w:tcPr>
            <w:tcW w:type="dxa" w:w="2448"/>
            <w:vAlign w:val="center"/>
          </w:tcPr>
          <w:p>
            <w:r>
              <w:rPr>
                <w:sz w:val="18"/>
              </w:rPr>
              <w:t>1.0</w:t>
            </w:r>
          </w:p>
        </w:tc>
        <w:tc>
          <w:tcPr>
            <w:tcW w:type="dxa" w:w="2448"/>
            <w:vAlign w:val="center"/>
          </w:tcPr>
          <w:p>
            <w:r>
              <w:rPr>
                <w:sz w:val="18"/>
              </w:rPr>
              <w:t>2026</w:t>
            </w:r>
          </w:p>
        </w:tc>
        <w:tc>
          <w:tcPr>
            <w:tcW w:type="dxa" w:w="2448"/>
            <w:vAlign w:val="center"/>
          </w:tcPr>
          <w:p>
            <w:r>
              <w:rPr>
                <w:sz w:val="18"/>
              </w:rPr>
              <w:t>Initial proposed IT Policy</w:t>
            </w:r>
          </w:p>
        </w:tc>
        <w:tc>
          <w:tcPr>
            <w:tcW w:type="dxa" w:w="2448"/>
            <w:vAlign w:val="center"/>
          </w:tcPr>
          <w:p>
            <w:r>
              <w:rPr>
                <w:sz w:val="18"/>
              </w:rPr>
              <w:t>[Pending approval]</w:t>
            </w:r>
          </w:p>
        </w:tc>
      </w:tr>
    </w:tbl>
    <w:p>
      <w:r>
        <w:br w:type="page"/>
      </w:r>
    </w:p>
    <w:p>
      <w:pPr>
        <w:pStyle w:val="Heading1"/>
      </w:pPr>
      <w:r>
        <w:t>Appendix A — Recommended IT Service Catalogue</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r>
              <w:rPr>
                <w:b/>
                <w:sz w:val="18"/>
              </w:rPr>
              <w:t>Service</w:t>
            </w:r>
          </w:p>
        </w:tc>
        <w:tc>
          <w:tcPr>
            <w:tcW w:type="dxa" w:w="2448"/>
            <w:vAlign w:val="center"/>
          </w:tcPr>
          <w:p>
            <w:r>
              <w:rPr>
                <w:b/>
                <w:sz w:val="18"/>
              </w:rPr>
              <w:t>Primary Users</w:t>
            </w:r>
          </w:p>
        </w:tc>
        <w:tc>
          <w:tcPr>
            <w:tcW w:type="dxa" w:w="2448"/>
            <w:vAlign w:val="center"/>
          </w:tcPr>
          <w:p>
            <w:r>
              <w:rPr>
                <w:b/>
                <w:sz w:val="18"/>
              </w:rPr>
              <w:t>Criticality</w:t>
            </w:r>
          </w:p>
        </w:tc>
        <w:tc>
          <w:tcPr>
            <w:tcW w:type="dxa" w:w="2448"/>
            <w:vAlign w:val="center"/>
          </w:tcPr>
          <w:p>
            <w:r>
              <w:rPr>
                <w:b/>
                <w:sz w:val="18"/>
              </w:rPr>
              <w:t>Owner</w:t>
            </w:r>
          </w:p>
        </w:tc>
      </w:tr>
      <w:tr>
        <w:tc>
          <w:tcPr>
            <w:tcW w:type="dxa" w:w="2448"/>
            <w:vAlign w:val="center"/>
          </w:tcPr>
          <w:p>
            <w:r>
              <w:rPr>
                <w:sz w:val="18"/>
              </w:rPr>
              <w:t>Internet / Network</w:t>
            </w:r>
          </w:p>
        </w:tc>
        <w:tc>
          <w:tcPr>
            <w:tcW w:type="dxa" w:w="2448"/>
            <w:vAlign w:val="center"/>
          </w:tcPr>
          <w:p>
            <w:r>
              <w:rPr>
                <w:sz w:val="18"/>
              </w:rPr>
              <w:t>Students / Staff</w:t>
            </w:r>
          </w:p>
        </w:tc>
        <w:tc>
          <w:tcPr>
            <w:tcW w:type="dxa" w:w="2448"/>
            <w:vAlign w:val="center"/>
          </w:tcPr>
          <w:p>
            <w:r>
              <w:rPr>
                <w:sz w:val="18"/>
              </w:rPr>
              <w:t>Critical</w:t>
            </w:r>
          </w:p>
        </w:tc>
        <w:tc>
          <w:tcPr>
            <w:tcW w:type="dxa" w:w="2448"/>
            <w:vAlign w:val="center"/>
          </w:tcPr>
          <w:p>
            <w:r>
              <w:rPr>
                <w:sz w:val="18"/>
              </w:rPr>
              <w:t>IT</w:t>
            </w:r>
          </w:p>
        </w:tc>
      </w:tr>
      <w:tr>
        <w:tc>
          <w:tcPr>
            <w:tcW w:type="dxa" w:w="2448"/>
            <w:vAlign w:val="center"/>
          </w:tcPr>
          <w:p>
            <w:r>
              <w:rPr>
                <w:sz w:val="18"/>
              </w:rPr>
              <w:t>Institutional Portal</w:t>
            </w:r>
          </w:p>
        </w:tc>
        <w:tc>
          <w:tcPr>
            <w:tcW w:type="dxa" w:w="2448"/>
            <w:vAlign w:val="center"/>
          </w:tcPr>
          <w:p>
            <w:r>
              <w:rPr>
                <w:sz w:val="18"/>
              </w:rPr>
              <w:t>Students / Staff</w:t>
            </w:r>
          </w:p>
        </w:tc>
        <w:tc>
          <w:tcPr>
            <w:tcW w:type="dxa" w:w="2448"/>
            <w:vAlign w:val="center"/>
          </w:tcPr>
          <w:p>
            <w:r>
              <w:rPr>
                <w:sz w:val="18"/>
              </w:rPr>
              <w:t>Critical</w:t>
            </w:r>
          </w:p>
        </w:tc>
        <w:tc>
          <w:tcPr>
            <w:tcW w:type="dxa" w:w="2448"/>
            <w:vAlign w:val="center"/>
          </w:tcPr>
          <w:p>
            <w:r>
              <w:rPr>
                <w:sz w:val="18"/>
              </w:rPr>
              <w:t>IT / Relevant Office</w:t>
            </w:r>
          </w:p>
        </w:tc>
      </w:tr>
      <w:tr>
        <w:tc>
          <w:tcPr>
            <w:tcW w:type="dxa" w:w="2448"/>
            <w:vAlign w:val="center"/>
          </w:tcPr>
          <w:p>
            <w:r>
              <w:rPr>
                <w:sz w:val="18"/>
              </w:rPr>
              <w:t>Learnata / LMS</w:t>
            </w:r>
          </w:p>
        </w:tc>
        <w:tc>
          <w:tcPr>
            <w:tcW w:type="dxa" w:w="2448"/>
            <w:vAlign w:val="center"/>
          </w:tcPr>
          <w:p>
            <w:r>
              <w:rPr>
                <w:sz w:val="18"/>
              </w:rPr>
              <w:t>Students / Academic Staff</w:t>
            </w:r>
          </w:p>
        </w:tc>
        <w:tc>
          <w:tcPr>
            <w:tcW w:type="dxa" w:w="2448"/>
            <w:vAlign w:val="center"/>
          </w:tcPr>
          <w:p>
            <w:r>
              <w:rPr>
                <w:sz w:val="18"/>
              </w:rPr>
              <w:t>Critical</w:t>
            </w:r>
          </w:p>
        </w:tc>
        <w:tc>
          <w:tcPr>
            <w:tcW w:type="dxa" w:w="2448"/>
            <w:vAlign w:val="center"/>
          </w:tcPr>
          <w:p>
            <w:r>
              <w:rPr>
                <w:sz w:val="18"/>
              </w:rPr>
              <w:t>IT / Academic</w:t>
            </w:r>
          </w:p>
        </w:tc>
      </w:tr>
      <w:tr>
        <w:tc>
          <w:tcPr>
            <w:tcW w:type="dxa" w:w="2448"/>
            <w:vAlign w:val="center"/>
          </w:tcPr>
          <w:p>
            <w:r>
              <w:rPr>
                <w:sz w:val="18"/>
              </w:rPr>
              <w:t>Institutional Email</w:t>
            </w:r>
          </w:p>
        </w:tc>
        <w:tc>
          <w:tcPr>
            <w:tcW w:type="dxa" w:w="2448"/>
            <w:vAlign w:val="center"/>
          </w:tcPr>
          <w:p>
            <w:r>
              <w:rPr>
                <w:sz w:val="18"/>
              </w:rPr>
              <w:t>Staff / Students</w:t>
            </w:r>
          </w:p>
        </w:tc>
        <w:tc>
          <w:tcPr>
            <w:tcW w:type="dxa" w:w="2448"/>
            <w:vAlign w:val="center"/>
          </w:tcPr>
          <w:p>
            <w:r>
              <w:rPr>
                <w:sz w:val="18"/>
              </w:rPr>
              <w:t>High</w:t>
            </w:r>
          </w:p>
        </w:tc>
        <w:tc>
          <w:tcPr>
            <w:tcW w:type="dxa" w:w="2448"/>
            <w:vAlign w:val="center"/>
          </w:tcPr>
          <w:p>
            <w:r>
              <w:rPr>
                <w:sz w:val="18"/>
              </w:rPr>
              <w:t>IT</w:t>
            </w:r>
          </w:p>
        </w:tc>
      </w:tr>
      <w:tr>
        <w:tc>
          <w:tcPr>
            <w:tcW w:type="dxa" w:w="2448"/>
            <w:vAlign w:val="center"/>
          </w:tcPr>
          <w:p>
            <w:r>
              <w:rPr>
                <w:sz w:val="18"/>
              </w:rPr>
              <w:t>Computer Labs</w:t>
            </w:r>
          </w:p>
        </w:tc>
        <w:tc>
          <w:tcPr>
            <w:tcW w:type="dxa" w:w="2448"/>
            <w:vAlign w:val="center"/>
          </w:tcPr>
          <w:p>
            <w:r>
              <w:rPr>
                <w:sz w:val="18"/>
              </w:rPr>
              <w:t>Students / Staff</w:t>
            </w:r>
          </w:p>
        </w:tc>
        <w:tc>
          <w:tcPr>
            <w:tcW w:type="dxa" w:w="2448"/>
            <w:vAlign w:val="center"/>
          </w:tcPr>
          <w:p>
            <w:r>
              <w:rPr>
                <w:sz w:val="18"/>
              </w:rPr>
              <w:t>High</w:t>
            </w:r>
          </w:p>
        </w:tc>
        <w:tc>
          <w:tcPr>
            <w:tcW w:type="dxa" w:w="2448"/>
            <w:vAlign w:val="center"/>
          </w:tcPr>
          <w:p>
            <w:r>
              <w:rPr>
                <w:sz w:val="18"/>
              </w:rPr>
              <w:t>IT / Departments</w:t>
            </w:r>
          </w:p>
        </w:tc>
      </w:tr>
      <w:tr>
        <w:tc>
          <w:tcPr>
            <w:tcW w:type="dxa" w:w="2448"/>
            <w:vAlign w:val="center"/>
          </w:tcPr>
          <w:p>
            <w:r>
              <w:rPr>
                <w:sz w:val="18"/>
              </w:rPr>
              <w:t>File / Storage Services</w:t>
            </w:r>
          </w:p>
        </w:tc>
        <w:tc>
          <w:tcPr>
            <w:tcW w:type="dxa" w:w="2448"/>
            <w:vAlign w:val="center"/>
          </w:tcPr>
          <w:p>
            <w:r>
              <w:rPr>
                <w:sz w:val="18"/>
              </w:rPr>
              <w:t>Authorized Staff</w:t>
            </w:r>
          </w:p>
        </w:tc>
        <w:tc>
          <w:tcPr>
            <w:tcW w:type="dxa" w:w="2448"/>
            <w:vAlign w:val="center"/>
          </w:tcPr>
          <w:p>
            <w:r>
              <w:rPr>
                <w:sz w:val="18"/>
              </w:rPr>
              <w:t>High</w:t>
            </w:r>
          </w:p>
        </w:tc>
        <w:tc>
          <w:tcPr>
            <w:tcW w:type="dxa" w:w="2448"/>
            <w:vAlign w:val="center"/>
          </w:tcPr>
          <w:p>
            <w:r>
              <w:rPr>
                <w:sz w:val="18"/>
              </w:rPr>
              <w:t>IT</w:t>
            </w:r>
          </w:p>
        </w:tc>
      </w:tr>
      <w:tr>
        <w:tc>
          <w:tcPr>
            <w:tcW w:type="dxa" w:w="2448"/>
            <w:vAlign w:val="center"/>
          </w:tcPr>
          <w:p>
            <w:r>
              <w:rPr>
                <w:sz w:val="18"/>
              </w:rPr>
              <w:t>User Account Services</w:t>
            </w:r>
          </w:p>
        </w:tc>
        <w:tc>
          <w:tcPr>
            <w:tcW w:type="dxa" w:w="2448"/>
            <w:vAlign w:val="center"/>
          </w:tcPr>
          <w:p>
            <w:r>
              <w:rPr>
                <w:sz w:val="18"/>
              </w:rPr>
              <w:t>All Users</w:t>
            </w:r>
          </w:p>
        </w:tc>
        <w:tc>
          <w:tcPr>
            <w:tcW w:type="dxa" w:w="2448"/>
            <w:vAlign w:val="center"/>
          </w:tcPr>
          <w:p>
            <w:r>
              <w:rPr>
                <w:sz w:val="18"/>
              </w:rPr>
              <w:t>Critical</w:t>
            </w:r>
          </w:p>
        </w:tc>
        <w:tc>
          <w:tcPr>
            <w:tcW w:type="dxa" w:w="2448"/>
            <w:vAlign w:val="center"/>
          </w:tcPr>
          <w:p>
            <w:r>
              <w:rPr>
                <w:sz w:val="18"/>
              </w:rPr>
              <w:t>IT</w:t>
            </w:r>
          </w:p>
        </w:tc>
      </w:tr>
      <w:tr>
        <w:tc>
          <w:tcPr>
            <w:tcW w:type="dxa" w:w="2448"/>
            <w:vAlign w:val="center"/>
          </w:tcPr>
          <w:p>
            <w:r>
              <w:rPr>
                <w:sz w:val="18"/>
              </w:rPr>
              <w:t>Helpdesk / IT Support</w:t>
            </w:r>
          </w:p>
        </w:tc>
        <w:tc>
          <w:tcPr>
            <w:tcW w:type="dxa" w:w="2448"/>
            <w:vAlign w:val="center"/>
          </w:tcPr>
          <w:p>
            <w:r>
              <w:rPr>
                <w:sz w:val="18"/>
              </w:rPr>
              <w:t>All Users</w:t>
            </w:r>
          </w:p>
        </w:tc>
        <w:tc>
          <w:tcPr>
            <w:tcW w:type="dxa" w:w="2448"/>
            <w:vAlign w:val="center"/>
          </w:tcPr>
          <w:p>
            <w:r>
              <w:rPr>
                <w:sz w:val="18"/>
              </w:rPr>
              <w:t>High</w:t>
            </w:r>
          </w:p>
        </w:tc>
        <w:tc>
          <w:tcPr>
            <w:tcW w:type="dxa" w:w="2448"/>
            <w:vAlign w:val="center"/>
          </w:tcPr>
          <w:p>
            <w:r>
              <w:rPr>
                <w:sz w:val="18"/>
              </w:rPr>
              <w:t>IT</w:t>
            </w:r>
          </w:p>
        </w:tc>
      </w:tr>
    </w:tbl>
    <w:p>
      <w:pPr>
        <w:pStyle w:val="Heading1"/>
      </w:pPr>
      <w:r>
        <w:t>Appendix B — Incident Severity Matrix</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r>
              <w:rPr>
                <w:b/>
                <w:sz w:val="18"/>
              </w:rPr>
              <w:t>Severity</w:t>
            </w:r>
          </w:p>
        </w:tc>
        <w:tc>
          <w:tcPr>
            <w:tcW w:type="dxa" w:w="2448"/>
            <w:vAlign w:val="center"/>
          </w:tcPr>
          <w:p>
            <w:r>
              <w:rPr>
                <w:b/>
                <w:sz w:val="18"/>
              </w:rPr>
              <w:t>Description</w:t>
            </w:r>
          </w:p>
        </w:tc>
        <w:tc>
          <w:tcPr>
            <w:tcW w:type="dxa" w:w="2448"/>
            <w:vAlign w:val="center"/>
          </w:tcPr>
          <w:p>
            <w:r>
              <w:rPr>
                <w:b/>
                <w:sz w:val="18"/>
              </w:rPr>
              <w:t>Examples</w:t>
            </w:r>
          </w:p>
        </w:tc>
        <w:tc>
          <w:tcPr>
            <w:tcW w:type="dxa" w:w="2448"/>
            <w:vAlign w:val="center"/>
          </w:tcPr>
          <w:p>
            <w:r>
              <w:rPr>
                <w:b/>
                <w:sz w:val="18"/>
              </w:rPr>
              <w:t>Escalation</w:t>
            </w:r>
          </w:p>
        </w:tc>
      </w:tr>
      <w:tr>
        <w:tc>
          <w:tcPr>
            <w:tcW w:type="dxa" w:w="2448"/>
            <w:vAlign w:val="center"/>
          </w:tcPr>
          <w:p>
            <w:r>
              <w:rPr>
                <w:sz w:val="18"/>
              </w:rPr>
              <w:t>Critical</w:t>
            </w:r>
          </w:p>
        </w:tc>
        <w:tc>
          <w:tcPr>
            <w:tcW w:type="dxa" w:w="2448"/>
            <w:vAlign w:val="center"/>
          </w:tcPr>
          <w:p>
            <w:r>
              <w:rPr>
                <w:sz w:val="18"/>
              </w:rPr>
              <w:t>Major institutional impact or serious security event</w:t>
            </w:r>
          </w:p>
        </w:tc>
        <w:tc>
          <w:tcPr>
            <w:tcW w:type="dxa" w:w="2448"/>
            <w:vAlign w:val="center"/>
          </w:tcPr>
          <w:p>
            <w:r>
              <w:rPr>
                <w:sz w:val="18"/>
              </w:rPr>
              <w:t>Portal/Learnata unavailable for most users; ransomware; major data exposure</w:t>
            </w:r>
          </w:p>
        </w:tc>
        <w:tc>
          <w:tcPr>
            <w:tcW w:type="dxa" w:w="2448"/>
            <w:vAlign w:val="center"/>
          </w:tcPr>
          <w:p>
            <w:r>
              <w:rPr>
                <w:sz w:val="18"/>
              </w:rPr>
              <w:t>IT Lead + Management</w:t>
            </w:r>
          </w:p>
        </w:tc>
      </w:tr>
      <w:tr>
        <w:tc>
          <w:tcPr>
            <w:tcW w:type="dxa" w:w="2448"/>
            <w:vAlign w:val="center"/>
          </w:tcPr>
          <w:p>
            <w:r>
              <w:rPr>
                <w:sz w:val="18"/>
              </w:rPr>
              <w:t>High</w:t>
            </w:r>
          </w:p>
        </w:tc>
        <w:tc>
          <w:tcPr>
            <w:tcW w:type="dxa" w:w="2448"/>
            <w:vAlign w:val="center"/>
          </w:tcPr>
          <w:p>
            <w:r>
              <w:rPr>
                <w:sz w:val="18"/>
              </w:rPr>
              <w:t>Significant operational impact</w:t>
            </w:r>
          </w:p>
        </w:tc>
        <w:tc>
          <w:tcPr>
            <w:tcW w:type="dxa" w:w="2448"/>
            <w:vAlign w:val="center"/>
          </w:tcPr>
          <w:p>
            <w:r>
              <w:rPr>
                <w:sz w:val="18"/>
              </w:rPr>
              <w:t>Department-wide outage; major server failure</w:t>
            </w:r>
          </w:p>
        </w:tc>
        <w:tc>
          <w:tcPr>
            <w:tcW w:type="dxa" w:w="2448"/>
            <w:vAlign w:val="center"/>
          </w:tcPr>
          <w:p>
            <w:r>
              <w:rPr>
                <w:sz w:val="18"/>
              </w:rPr>
              <w:t>IT Lead</w:t>
            </w:r>
          </w:p>
        </w:tc>
      </w:tr>
      <w:tr>
        <w:tc>
          <w:tcPr>
            <w:tcW w:type="dxa" w:w="2448"/>
            <w:vAlign w:val="center"/>
          </w:tcPr>
          <w:p>
            <w:r>
              <w:rPr>
                <w:sz w:val="18"/>
              </w:rPr>
              <w:t>Medium</w:t>
            </w:r>
          </w:p>
        </w:tc>
        <w:tc>
          <w:tcPr>
            <w:tcW w:type="dxa" w:w="2448"/>
            <w:vAlign w:val="center"/>
          </w:tcPr>
          <w:p>
            <w:r>
              <w:rPr>
                <w:sz w:val="18"/>
              </w:rPr>
              <w:t>Limited impact</w:t>
            </w:r>
          </w:p>
        </w:tc>
        <w:tc>
          <w:tcPr>
            <w:tcW w:type="dxa" w:w="2448"/>
            <w:vAlign w:val="center"/>
          </w:tcPr>
          <w:p>
            <w:r>
              <w:rPr>
                <w:sz w:val="18"/>
              </w:rPr>
              <w:t>Single-user compromise; small group service issue</w:t>
            </w:r>
          </w:p>
        </w:tc>
        <w:tc>
          <w:tcPr>
            <w:tcW w:type="dxa" w:w="2448"/>
            <w:vAlign w:val="center"/>
          </w:tcPr>
          <w:p>
            <w:r>
              <w:rPr>
                <w:sz w:val="18"/>
              </w:rPr>
              <w:t>IT Support / Specialist</w:t>
            </w:r>
          </w:p>
        </w:tc>
      </w:tr>
      <w:tr>
        <w:tc>
          <w:tcPr>
            <w:tcW w:type="dxa" w:w="2448"/>
            <w:vAlign w:val="center"/>
          </w:tcPr>
          <w:p>
            <w:r>
              <w:rPr>
                <w:sz w:val="18"/>
              </w:rPr>
              <w:t>Low</w:t>
            </w:r>
          </w:p>
        </w:tc>
        <w:tc>
          <w:tcPr>
            <w:tcW w:type="dxa" w:w="2448"/>
            <w:vAlign w:val="center"/>
          </w:tcPr>
          <w:p>
            <w:r>
              <w:rPr>
                <w:sz w:val="18"/>
              </w:rPr>
              <w:t>Minor issue with limited impact</w:t>
            </w:r>
          </w:p>
        </w:tc>
        <w:tc>
          <w:tcPr>
            <w:tcW w:type="dxa" w:w="2448"/>
            <w:vAlign w:val="center"/>
          </w:tcPr>
          <w:p>
            <w:r>
              <w:rPr>
                <w:sz w:val="18"/>
              </w:rPr>
              <w:t>Non-urgent software request; minor configuration issue</w:t>
            </w:r>
          </w:p>
        </w:tc>
        <w:tc>
          <w:tcPr>
            <w:tcW w:type="dxa" w:w="2448"/>
            <w:vAlign w:val="center"/>
          </w:tcPr>
          <w:p>
            <w:r>
              <w:rPr>
                <w:sz w:val="18"/>
              </w:rPr>
              <w:t>IT Support</w:t>
            </w:r>
          </w:p>
        </w:tc>
      </w:tr>
    </w:tbl>
    <w:p>
      <w:pPr>
        <w:pStyle w:val="Heading1"/>
      </w:pPr>
      <w:r>
        <w:t>Appendix C — Sample Service Status Announcements</w:t>
      </w:r>
    </w:p>
    <w:p>
      <w:pPr>
        <w:pStyle w:val="Heading2"/>
      </w:pPr>
      <w:r>
        <w:t>C.1 Service Unavailable</w:t>
      </w:r>
    </w:p>
    <w:p>
      <w:r>
        <w:t>IMPORTANT ANNOUNCEMENT</w:t>
        <w:br/>
        <w:br/>
        <w:t>Dear Students and Staff,</w:t>
        <w:br/>
        <w:br/>
        <w:t>Please be informed that the KTI Portal/Learnata service is temporarily unavailable due to a technical issue. Our IT team is currently working to restore the service as soon as possible.</w:t>
        <w:br/>
        <w:br/>
        <w:t>We apologize for the inconvenience and appreciate your patience and understanding.</w:t>
        <w:br/>
        <w:br/>
        <w:t>A further announcement will be issued once the service has been restored.</w:t>
        <w:br/>
        <w:br/>
        <w:t>KTI Information Technology Department</w:t>
      </w:r>
    </w:p>
    <w:p>
      <w:pPr>
        <w:pStyle w:val="Heading2"/>
      </w:pPr>
      <w:r>
        <w:t>C.2 Service Restored</w:t>
      </w:r>
    </w:p>
    <w:p>
      <w:r>
        <w:t>SERVICE RESTORED</w:t>
        <w:br/>
        <w:br/>
        <w:t>Dear Students and Staff,</w:t>
        <w:br/>
        <w:br/>
        <w:t>We are pleased to inform you that the KTI Portal/Learnata service has been restored and is now available.</w:t>
        <w:br/>
        <w:br/>
        <w:t>Thank you for your patience and understanding during the service interruption.</w:t>
        <w:br/>
        <w:br/>
        <w:t>KTI Information Technology Department</w:t>
      </w:r>
    </w:p>
    <w:p>
      <w:pPr>
        <w:pStyle w:val="Heading1"/>
      </w:pPr>
      <w:r>
        <w:t>Appendix D — Reference to KTI's Existing Policy Framework</w:t>
      </w:r>
    </w:p>
    <w:p>
      <w:r>
        <w:t>KTI publicly maintains a Policies and Guidelines section containing institutional policies such as Email Use, Health and Safety, Student Disciplinary, Library, Scholarship, and other policies. This IT Policy should be implemented as part of that existing governance framework and should be aligned with the institute's approved document-control and policy-review procedures.</w:t>
      </w:r>
    </w:p>
    <w:p>
      <w:pPr>
        <w:pStyle w:val="Heading1"/>
      </w:pPr>
      <w:r>
        <w:t>Appendix E — Institutional Information Used in This Draft</w:t>
      </w:r>
    </w:p>
    <w:p>
      <w:r>
        <w:t>This proposed policy was tailored using publicly available information from KTI's official websites. KTI's official site identifies the institute as a private two-year technical institute in Sulaimani, and its IT Department site identifies the department and the Learnata system. KTI also publicly lists a Policies and Guidelines section and announced the Learnata application for students in October 2025.</w:t>
      </w:r>
    </w:p>
    <w:p>
      <w:pPr>
        <w:pStyle w:val="ListBullet"/>
      </w:pPr>
      <w:r>
        <w:t>KTI official website: https://www.kti.edu.iq/</w:t>
      </w:r>
    </w:p>
    <w:p>
      <w:pPr>
        <w:pStyle w:val="ListBullet"/>
      </w:pPr>
      <w:r>
        <w:t>KTI IT Department: https://it.kti.edu.iq/en/</w:t>
      </w:r>
    </w:p>
    <w:p>
      <w:pPr>
        <w:pStyle w:val="ListBullet"/>
      </w:pPr>
      <w:r>
        <w:t>KTI IT Department — Necessary Links: https://it.kti.edu.iq/en/details.php?id=96</w:t>
      </w:r>
    </w:p>
    <w:p>
      <w:pPr>
        <w:pStyle w:val="ListBullet"/>
      </w:pPr>
      <w:r>
        <w:t>KTI Policies and Guidelines: https://www.kti.edu.iq/details.php?info=Policies&amp;sub=Policies+and+Guidelines</w:t>
      </w:r>
    </w:p>
    <w:p>
      <w:pPr>
        <w:pStyle w:val="ListBullet"/>
      </w:pPr>
      <w:r>
        <w:t>KTI Learnata announcement: https://kti.edu.iq/details.php?id=609</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Kurdistan Technical Institute (KTI) — Information Technology Policy — Version 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